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8"/>
          <w:szCs w:val="24"/>
        </w:rPr>
      </w:pPr>
      <w:r>
        <w:rPr/>
      </w:r>
    </w:p>
    <w:p>
      <w:pPr>
        <w:pStyle w:val="Normal"/>
        <w:jc w:val="right"/>
        <w:rPr>
          <w:sz w:val="28"/>
          <w:szCs w:val="24"/>
        </w:rPr>
      </w:pPr>
      <w:r>
        <w:rPr/>
      </w:r>
    </w:p>
    <w:p>
      <w:pPr>
        <w:pStyle w:val="Normal"/>
        <w:spacing w:before="1440" w:after="0"/>
        <w:ind w:hang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Технические требования на выполнение работ</w:t>
      </w:r>
    </w:p>
    <w:p>
      <w:pPr>
        <w:pStyle w:val="Normal"/>
        <w:spacing w:before="1320" w:after="0"/>
        <w:ind w:hanging="0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«ОКПД2 43.21.10.140 Поставка, монтаж и наладка оборудования системы пожарной сигнализации, системы оповещения и управления эвакуацией, газового пожаротушения здания Новосибирской ГЭС»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sect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before="7320" w:after="0"/>
        <w:ind w:hanging="0"/>
        <w:jc w:val="center"/>
        <w:rPr/>
      </w:pPr>
      <w:r>
        <w:rPr/>
        <w:t>Новосибирск 2026</w:t>
      </w:r>
    </w:p>
    <w:p>
      <w:pPr>
        <w:pStyle w:val="Normal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960" w:leader="none"/>
              <w:tab w:val="right" w:pos="9345" w:leader="none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caps w:val="false"/>
              <w:smallCaps w:val="false"/>
              <w:kern w:val="0"/>
              <w:sz w:val="22"/>
              <w:szCs w:val="22"/>
              <w:lang w:eastAsia="ru-RU"/>
              <w14:ligatures w14:val="none"/>
            </w:rPr>
          </w:pPr>
          <w:r>
            <w:fldChar w:fldCharType="begin"/>
          </w:r>
          <w:r>
            <w:rPr>
              <w:rStyle w:val="Style5"/>
            </w:rPr>
            <w:instrText xml:space="preserve"> TOC \o "1-1" \u \h</w:instrText>
          </w:r>
          <w:r>
            <w:rPr>
              <w:rStyle w:val="Style5"/>
            </w:rPr>
            <w:fldChar w:fldCharType="separate"/>
          </w:r>
          <w:hyperlink w:anchor="_Toc238212494">
            <w:r>
              <w:rPr>
                <w:rStyle w:val="Style5"/>
              </w:rPr>
              <w:t>1</w:t>
            </w:r>
            <w:r>
              <w:rPr>
                <w:rStyle w:val="Style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aps w:val="false"/>
                <w:smallCaps w:val="false"/>
                <w:kern w:val="0"/>
                <w:sz w:val="22"/>
                <w:szCs w:val="22"/>
                <w:lang w:eastAsia="ru-RU"/>
                <w14:ligatures w14:val="non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_Toc238212494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960" w:leader="none"/>
              <w:tab w:val="right" w:pos="9345" w:leader="none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caps w:val="false"/>
              <w:smallCaps w:val="false"/>
              <w:kern w:val="0"/>
              <w:sz w:val="22"/>
              <w:szCs w:val="22"/>
              <w:lang w:eastAsia="ru-RU"/>
              <w14:ligatures w14:val="none"/>
            </w:rPr>
          </w:pPr>
          <w:hyperlink w:anchor="_Toc238212495">
            <w:r>
              <w:rPr>
                <w:rStyle w:val="Style5"/>
                <w:lang w:val="en-US"/>
              </w:rPr>
              <w:t>2</w:t>
            </w:r>
            <w:r>
              <w:rPr>
                <w:rStyle w:val="Style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aps w:val="false"/>
                <w:smallCaps w:val="false"/>
                <w:kern w:val="0"/>
                <w:sz w:val="22"/>
                <w:szCs w:val="22"/>
                <w:lang w:eastAsia="ru-RU"/>
                <w14:ligatures w14:val="none"/>
              </w:rPr>
              <w:tab/>
            </w:r>
            <w:r>
              <w:rPr>
                <w:rStyle w:val="Style5"/>
                <w:lang w:val="en-US"/>
              </w:rPr>
              <w:t>Перечень объектов Заказчика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_Toc238212495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960" w:leader="none"/>
              <w:tab w:val="right" w:pos="9345" w:leader="none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caps w:val="false"/>
              <w:smallCaps w:val="false"/>
              <w:kern w:val="0"/>
              <w:sz w:val="22"/>
              <w:szCs w:val="22"/>
              <w:lang w:eastAsia="ru-RU"/>
              <w14:ligatures w14:val="none"/>
            </w:rPr>
          </w:pPr>
          <w:hyperlink w:anchor="_Toc238212496">
            <w:r>
              <w:rPr>
                <w:rStyle w:val="Style5"/>
              </w:rPr>
              <w:t>3</w:t>
            </w:r>
            <w:r>
              <w:rPr>
                <w:rStyle w:val="Style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aps w:val="false"/>
                <w:smallCaps w:val="false"/>
                <w:kern w:val="0"/>
                <w:sz w:val="22"/>
                <w:szCs w:val="22"/>
                <w:lang w:eastAsia="ru-RU"/>
                <w14:ligatures w14:val="none"/>
              </w:rPr>
              <w:tab/>
            </w:r>
            <w:r>
              <w:rPr>
                <w:rStyle w:val="Style5"/>
              </w:rPr>
              <w:t xml:space="preserve">Требования к </w:t>
            </w:r>
            <w:r>
              <w:rPr>
                <w:rStyle w:val="Style5"/>
                <w:lang w:val="en-US"/>
              </w:rPr>
              <w:t>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_Toc238212496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960" w:leader="none"/>
              <w:tab w:val="right" w:pos="9345" w:leader="none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caps w:val="false"/>
              <w:smallCaps w:val="false"/>
              <w:kern w:val="0"/>
              <w:sz w:val="22"/>
              <w:szCs w:val="22"/>
              <w:lang w:eastAsia="ru-RU"/>
              <w14:ligatures w14:val="none"/>
            </w:rPr>
          </w:pPr>
          <w:hyperlink w:anchor="_Toc238212497">
            <w:r>
              <w:rPr>
                <w:rStyle w:val="Style5"/>
              </w:rPr>
              <w:t>4</w:t>
            </w:r>
            <w:r>
              <w:rPr>
                <w:rStyle w:val="Style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aps w:val="false"/>
                <w:smallCaps w:val="false"/>
                <w:kern w:val="0"/>
                <w:sz w:val="22"/>
                <w:szCs w:val="22"/>
                <w:lang w:eastAsia="ru-RU"/>
                <w14:ligatures w14:val="non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_Toc238212497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>Требования к срокам выполнения работ</w:t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960" w:leader="none"/>
              <w:tab w:val="right" w:pos="9345" w:leader="none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caps w:val="false"/>
              <w:smallCaps w:val="false"/>
              <w:kern w:val="0"/>
              <w:sz w:val="22"/>
              <w:szCs w:val="22"/>
              <w:lang w:eastAsia="ru-RU"/>
              <w14:ligatures w14:val="none"/>
            </w:rPr>
          </w:pPr>
          <w:hyperlink w:anchor="_Toc238212498">
            <w:r>
              <w:rPr>
                <w:rStyle w:val="Style5"/>
              </w:rPr>
              <w:t>5</w:t>
            </w:r>
            <w:r>
              <w:rPr>
                <w:rStyle w:val="Style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aps w:val="false"/>
                <w:smallCaps w:val="false"/>
                <w:kern w:val="0"/>
                <w:sz w:val="22"/>
                <w:szCs w:val="22"/>
                <w:lang w:eastAsia="ru-RU"/>
                <w14:ligatures w14:val="non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_Toc238212498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>Требования к качеству работ</w:t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960" w:leader="none"/>
              <w:tab w:val="right" w:pos="9345" w:leader="none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caps w:val="false"/>
              <w:smallCaps w:val="false"/>
              <w:kern w:val="0"/>
              <w:sz w:val="22"/>
              <w:szCs w:val="22"/>
              <w:lang w:eastAsia="ru-RU"/>
              <w14:ligatures w14:val="none"/>
            </w:rPr>
          </w:pPr>
          <w:hyperlink w:anchor="_Toc238212499">
            <w:r>
              <w:rPr>
                <w:rStyle w:val="Style5"/>
              </w:rPr>
              <w:t>6</w:t>
            </w:r>
            <w:r>
              <w:rPr>
                <w:rStyle w:val="Style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aps w:val="false"/>
                <w:smallCaps w:val="false"/>
                <w:kern w:val="0"/>
                <w:sz w:val="22"/>
                <w:szCs w:val="22"/>
                <w:lang w:eastAsia="ru-RU"/>
                <w14:ligatures w14:val="non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_Toc238212499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>Требования к документации по ценообразованию на этапе закупки.</w:t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960" w:leader="none"/>
              <w:tab w:val="right" w:pos="9345" w:leader="none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caps w:val="false"/>
              <w:smallCaps w:val="false"/>
              <w:kern w:val="0"/>
              <w:sz w:val="22"/>
              <w:szCs w:val="22"/>
              <w:lang w:eastAsia="ru-RU"/>
              <w14:ligatures w14:val="none"/>
            </w:rPr>
          </w:pPr>
          <w:hyperlink w:anchor="_Toc238212500">
            <w:r>
              <w:rPr>
                <w:rStyle w:val="Style5"/>
              </w:rPr>
              <w:t>7</w:t>
            </w:r>
            <w:r>
              <w:rPr>
                <w:rStyle w:val="Style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aps w:val="false"/>
                <w:smallCaps w:val="false"/>
                <w:kern w:val="0"/>
                <w:sz w:val="22"/>
                <w:szCs w:val="22"/>
                <w:lang w:eastAsia="ru-RU"/>
                <w14:ligatures w14:val="non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_Toc238212500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>Требования к документации по ценообразованию на этапе заключения (исполнения) договора.</w:t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960" w:leader="none"/>
              <w:tab w:val="right" w:pos="9345" w:leader="none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caps w:val="false"/>
              <w:smallCaps w:val="false"/>
              <w:kern w:val="0"/>
              <w:sz w:val="22"/>
              <w:szCs w:val="22"/>
              <w:lang w:eastAsia="ru-RU"/>
              <w14:ligatures w14:val="none"/>
            </w:rPr>
          </w:pPr>
          <w:hyperlink w:anchor="_Toc238212501">
            <w:r>
              <w:rPr>
                <w:rStyle w:val="Style5"/>
              </w:rPr>
              <w:t>8</w:t>
            </w:r>
            <w:r>
              <w:rPr>
                <w:rStyle w:val="Style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aps w:val="false"/>
                <w:smallCaps w:val="false"/>
                <w:kern w:val="0"/>
                <w:sz w:val="22"/>
                <w:szCs w:val="22"/>
                <w:lang w:eastAsia="ru-RU"/>
                <w14:ligatures w14:val="non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_Toc238212501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>Приложения</w:t>
              <w:tab/>
              <w:t>35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5"/>
            </w:rPr>
            <w:fldChar w:fldCharType="end"/>
          </w:r>
        </w:p>
        <w:p>
          <w:pPr>
            <w:sectPr>
              <w:type w:val="nextPage"/>
              <w:pgSz w:w="11906" w:h="16838"/>
              <w:pgMar w:left="1701" w:right="850" w:gutter="0" w:header="0" w:top="1134" w:footer="0" w:bottom="1134"/>
              <w:pgNumType w:fmt="decimal"/>
              <w:formProt w:val="false"/>
              <w:textDirection w:val="lrTb"/>
              <w:docGrid w:type="default" w:linePitch="360" w:charSpace="0"/>
            </w:sectPr>
          </w:pPr>
        </w:p>
      </w:sdtContent>
    </w:sdt>
    <w:p>
      <w:pPr>
        <w:pStyle w:val="Heading1"/>
        <w:rPr/>
      </w:pPr>
      <w:bookmarkStart w:id="0" w:name="_Toc211008549"/>
      <w:bookmarkStart w:id="1" w:name="_Toc238212494"/>
      <w:r>
        <w:rPr/>
        <w:t>Общие сведения</w:t>
      </w:r>
      <w:bookmarkEnd w:id="0"/>
      <w:bookmarkEnd w:id="1"/>
    </w:p>
    <w:p>
      <w:pPr>
        <w:pStyle w:val="Heading2"/>
        <w:rPr/>
      </w:pPr>
      <w:r>
        <w:rPr/>
        <w:t>Обозначения и сокращения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lang w:val="en-US"/>
        </w:rPr>
      </w:pPr>
      <w:r>
        <w:rPr>
          <w:lang w:val="en-US"/>
        </w:rPr>
        <w:t>АБК – административно-бытовой корпус</w:t>
      </w:r>
    </w:p>
    <w:p>
      <w:pPr>
        <w:pStyle w:val="Normal"/>
        <w:jc w:val="both"/>
        <w:rPr/>
      </w:pPr>
      <w:r>
        <w:rPr/>
        <w:t>АРМ – автоматизированное рабочее место</w:t>
      </w:r>
    </w:p>
    <w:p>
      <w:pPr>
        <w:pStyle w:val="Normal"/>
        <w:jc w:val="both"/>
        <w:rPr/>
      </w:pPr>
      <w:r>
        <w:rPr/>
        <w:t>АУПТ – автоматическая установка пожаротушения</w:t>
      </w:r>
    </w:p>
    <w:p>
      <w:pPr>
        <w:pStyle w:val="Normal"/>
        <w:jc w:val="both"/>
        <w:rPr/>
      </w:pPr>
      <w:r>
        <w:rPr/>
        <w:t>ГОТВ – газовое огнетушащее вещество</w:t>
      </w:r>
    </w:p>
    <w:p>
      <w:pPr>
        <w:pStyle w:val="Normal"/>
        <w:jc w:val="both"/>
        <w:rPr/>
      </w:pPr>
      <w:r>
        <w:rPr/>
        <w:t>ГЩУ – главный щит управления</w:t>
      </w:r>
    </w:p>
    <w:p>
      <w:pPr>
        <w:pStyle w:val="Normal"/>
        <w:jc w:val="both"/>
        <w:rPr/>
      </w:pPr>
      <w:r>
        <w:rPr/>
        <w:t>ГЭС – гидроэлектростанция</w:t>
      </w:r>
    </w:p>
    <w:p>
      <w:pPr>
        <w:pStyle w:val="Normal"/>
        <w:jc w:val="both"/>
        <w:rPr/>
      </w:pPr>
      <w:r>
        <w:rPr/>
        <w:t>Заказчик – филиал ПАО «РусГидро» - «Новосибирская ГЭС»</w:t>
      </w:r>
    </w:p>
    <w:p>
      <w:pPr>
        <w:pStyle w:val="Normal"/>
        <w:jc w:val="both"/>
        <w:rPr/>
      </w:pPr>
      <w:r>
        <w:rPr/>
        <w:t>ЗИП – запасные изделия и приспособления</w:t>
      </w:r>
    </w:p>
    <w:p>
      <w:pPr>
        <w:pStyle w:val="Normal"/>
        <w:jc w:val="both"/>
        <w:rPr/>
      </w:pPr>
      <w:r>
        <w:rPr/>
        <w:t>МТО – материально-техническое обеспечение</w:t>
      </w:r>
    </w:p>
    <w:p>
      <w:pPr>
        <w:pStyle w:val="Normal"/>
        <w:jc w:val="both"/>
        <w:rPr/>
      </w:pPr>
      <w:r>
        <w:rPr/>
        <w:t>МТР – материально-технические ресурсы, включая материалы и оборудование</w:t>
      </w:r>
    </w:p>
    <w:p>
      <w:pPr>
        <w:pStyle w:val="Normal"/>
        <w:jc w:val="both"/>
        <w:rPr/>
      </w:pPr>
      <w:r>
        <w:rPr/>
        <w:t>МХ - маслохозяйство</w:t>
      </w:r>
    </w:p>
    <w:p>
      <w:pPr>
        <w:pStyle w:val="Normal"/>
        <w:jc w:val="both"/>
        <w:rPr/>
      </w:pPr>
      <w:r>
        <w:rPr/>
        <w:t>НТД – нормативно-технические документы</w:t>
      </w:r>
    </w:p>
    <w:p>
      <w:pPr>
        <w:pStyle w:val="Normal"/>
        <w:jc w:val="both"/>
        <w:rPr/>
      </w:pPr>
      <w:r>
        <w:rPr/>
        <w:t>ОКЛ – огнестойкая кабельная линия</w:t>
      </w:r>
    </w:p>
    <w:p>
      <w:pPr>
        <w:pStyle w:val="Normal"/>
        <w:jc w:val="both"/>
        <w:rPr/>
      </w:pPr>
      <w:r>
        <w:rPr/>
        <w:t>ОТВ – огнетушащие вещества</w:t>
      </w:r>
    </w:p>
    <w:p>
      <w:pPr>
        <w:pStyle w:val="Normal"/>
        <w:jc w:val="both"/>
        <w:rPr/>
      </w:pPr>
      <w:r>
        <w:rPr/>
        <w:t>ПНР – пуско-наладочные работы</w:t>
      </w:r>
    </w:p>
    <w:p>
      <w:pPr>
        <w:pStyle w:val="Normal"/>
        <w:jc w:val="both"/>
        <w:rPr/>
      </w:pPr>
      <w:r>
        <w:rPr/>
        <w:t>ППКУП – прибор приемно-контрольный управления пожарный</w:t>
      </w:r>
    </w:p>
    <w:p>
      <w:pPr>
        <w:pStyle w:val="Normal"/>
        <w:jc w:val="both"/>
        <w:rPr/>
      </w:pPr>
      <w:r>
        <w:rPr/>
        <w:t>ППР – проект производства работ</w:t>
      </w:r>
    </w:p>
    <w:p>
      <w:pPr>
        <w:pStyle w:val="Normal"/>
        <w:jc w:val="both"/>
        <w:rPr/>
      </w:pPr>
      <w:r>
        <w:rPr/>
        <w:t>ППРв – план производства работ на высоте</w:t>
      </w:r>
    </w:p>
    <w:p>
      <w:pPr>
        <w:pStyle w:val="Normal"/>
        <w:jc w:val="both"/>
        <w:rPr/>
      </w:pPr>
      <w:r>
        <w:rPr/>
        <w:t>РД – рабочая документация</w:t>
      </w:r>
    </w:p>
    <w:p>
      <w:pPr>
        <w:pStyle w:val="Normal"/>
        <w:jc w:val="both"/>
        <w:rPr/>
      </w:pPr>
      <w:r>
        <w:rPr/>
        <w:t>СМР – строительно-монтажные работы</w:t>
      </w:r>
    </w:p>
    <w:p>
      <w:pPr>
        <w:pStyle w:val="Normal"/>
        <w:jc w:val="both"/>
        <w:rPr/>
      </w:pPr>
      <w:r>
        <w:rPr/>
        <w:t>СОУЭ – система оповещения и управления эвакуацией</w:t>
      </w:r>
    </w:p>
    <w:p>
      <w:pPr>
        <w:pStyle w:val="Normal"/>
        <w:jc w:val="both"/>
        <w:rPr/>
      </w:pPr>
      <w:r>
        <w:rPr/>
        <w:t>СПЗ – системы противопожарной защиты</w:t>
      </w:r>
    </w:p>
    <w:p>
      <w:pPr>
        <w:pStyle w:val="Normal"/>
        <w:jc w:val="both"/>
        <w:rPr/>
      </w:pPr>
      <w:r>
        <w:rPr/>
        <w:t>СПС – система пожарной сигнализации</w:t>
      </w:r>
    </w:p>
    <w:p>
      <w:pPr>
        <w:pStyle w:val="Normal"/>
        <w:jc w:val="both"/>
        <w:rPr/>
      </w:pPr>
      <w:r>
        <w:rPr/>
        <w:t>ТТ – технические требования</w:t>
      </w:r>
    </w:p>
    <w:p>
      <w:pPr>
        <w:pStyle w:val="Normal"/>
        <w:jc w:val="both"/>
        <w:rPr/>
      </w:pPr>
      <w:r>
        <w:rPr/>
        <w:t>ЩО – щитовое отделение</w:t>
      </w:r>
    </w:p>
    <w:p>
      <w:pPr>
        <w:pStyle w:val="Normal"/>
        <w:jc w:val="both"/>
        <w:rPr/>
      </w:pPr>
      <w:r>
        <w:rPr/>
      </w:r>
    </w:p>
    <w:p>
      <w:pPr>
        <w:pStyle w:val="Heading2"/>
        <w:rPr/>
      </w:pPr>
      <w:r>
        <w:rPr/>
        <w:t>Наименование закупаемой продукции</w:t>
      </w:r>
    </w:p>
    <w:p>
      <w:pPr>
        <w:pStyle w:val="Normal"/>
        <w:jc w:val="both"/>
        <w:rPr/>
      </w:pPr>
      <w:r>
        <w:rPr/>
        <w:t>ОКПД2 43.21.10.140 Поставка, монтаж и наладка оборудования системы пожарной сигнализации, системы оповещения и управления эвакуацией, газового пожаротушения здания Новосибирской ГЭС</w:t>
      </w:r>
    </w:p>
    <w:p>
      <w:pPr>
        <w:pStyle w:val="Heading2"/>
        <w:rPr/>
      </w:pPr>
      <w:r>
        <w:rPr/>
        <w:t xml:space="preserve">Цель выполнения работ </w:t>
      </w:r>
    </w:p>
    <w:p>
      <w:pPr>
        <w:pStyle w:val="Normal"/>
        <w:jc w:val="both"/>
        <w:rPr/>
      </w:pPr>
      <w:r>
        <w:rPr/>
        <w:t>Целью работы является техническое перевооружение системы пожарной сигнализации, системы оповещения и управления эвакуацией, газового пожаротушения здания гидроэлектростанции Новосибирской ГЭС согласно требованиям Специальных технических условий, согласованных письмом Главного управления МЧС России по Новосибирской области от 09.12.2024 № ГУ-ИСХ-121841.</w:t>
      </w:r>
    </w:p>
    <w:p>
      <w:pPr>
        <w:pStyle w:val="Heading2"/>
        <w:rPr/>
      </w:pPr>
      <w:r>
        <w:rPr/>
        <w:t>Существующее положение</w:t>
      </w:r>
    </w:p>
    <w:p>
      <w:pPr>
        <w:pStyle w:val="Normal"/>
        <w:jc w:val="both"/>
        <w:rPr/>
      </w:pPr>
      <w:r>
        <w:rPr/>
        <w:t>Основные характеристики и идентификационные признаки здания ГЭС:</w:t>
      </w:r>
    </w:p>
    <w:p>
      <w:pPr>
        <w:pStyle w:val="Normal"/>
        <w:jc w:val="both"/>
        <w:rPr/>
      </w:pPr>
      <w:r>
        <w:rPr/>
        <w:t xml:space="preserve">    • </w:t>
      </w:r>
      <w:r>
        <w:rPr/>
        <w:t>Степень огнестойкости – II;</w:t>
      </w:r>
    </w:p>
    <w:p>
      <w:pPr>
        <w:pStyle w:val="Normal"/>
        <w:jc w:val="both"/>
        <w:rPr/>
      </w:pPr>
      <w:r>
        <w:rPr/>
        <w:t xml:space="preserve">    • </w:t>
      </w:r>
      <w:r>
        <w:rPr/>
        <w:t>Класс конструктивной пожарной опасности – С0;</w:t>
      </w:r>
    </w:p>
    <w:p>
      <w:pPr>
        <w:pStyle w:val="Normal"/>
        <w:jc w:val="both"/>
        <w:rPr/>
      </w:pPr>
      <w:r>
        <w:rPr/>
        <w:t xml:space="preserve">    • </w:t>
      </w:r>
      <w:r>
        <w:rPr/>
        <w:t>Класс функциональной пожарной опасности – Ф5.1 (с помещениями Ф4.3, Ф5.2).</w:t>
      </w:r>
    </w:p>
    <w:p>
      <w:pPr>
        <w:pStyle w:val="Normal"/>
        <w:jc w:val="both"/>
        <w:rPr/>
      </w:pPr>
      <w:r>
        <w:rPr/>
        <w:t>В настоящее время на Новосибирской ГЭС эксплуатируются СПС, СОУЭ и АУПТ на базе оборудования производства НВП «Болид». Функции ППКУП выполняет пульт С2000М. ППКУП позволяет контролировать текущее состояние СПС, СОУЭ и АУПТ с выводом сигнализации состояния на блоки индикации С2000-БИ, установленный в помещении пожарной автоматики, и на АРМ «Орион-Про», установленный на ГЩУ. Дистанционное управление АУПС, СОУЭ и АУПТ может выполняться с АРМ «Орион-Про» и ППКУП С2000М.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Системы СПС, СОУЭ и АУПТ содержат в своем составе резервированные источники питания с аккумуляторными батареями, контроллеры радиальных и адресных шлейфов сигнализации, релейные и пусковые блоки, шлейфы сигнализации с пожарными извещателями, звуковые и свектовые оповещатели, модули газового пожаротушения с технологическими трубопроводами для выпуска ГОТВ.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Во всех помещениях предусмотрена СОУЭ 2-го типа.</w:t>
      </w:r>
    </w:p>
    <w:p>
      <w:pPr>
        <w:pStyle w:val="Normal"/>
        <w:jc w:val="both"/>
        <w:rPr/>
      </w:pPr>
      <w:r>
        <w:rPr>
          <w:szCs w:val="24"/>
        </w:rPr>
        <w:t xml:space="preserve">Комплекты рабочей документации шифр: 12-26 </w:t>
      </w:r>
      <w:r>
        <w:rPr/>
        <w:t>«Здание Новосибирской ГЭС филиала ПАО «РусГидро». Новосибирск, ул. Новоморская, д.4. Система пожарной сигнализации. Система оповещения и управления эвакуацией при пожаре. Автоматическая установка газового пожаротушения»</w:t>
      </w:r>
      <w:r>
        <w:rPr>
          <w:szCs w:val="24"/>
        </w:rPr>
        <w:t xml:space="preserve">, разработанные ООО </w:t>
      </w:r>
      <w:r>
        <w:rPr/>
        <w:t>«Интеллектуальные Системы Сибири»</w:t>
      </w:r>
    </w:p>
    <w:p>
      <w:pPr>
        <w:pStyle w:val="Heading1"/>
        <w:rPr>
          <w:lang w:val="en-US"/>
        </w:rPr>
      </w:pPr>
      <w:bookmarkStart w:id="2" w:name="_Toc238212495"/>
      <w:r>
        <w:rPr>
          <w:lang w:val="en-US"/>
        </w:rPr>
        <w:t>Перечень объектов Заказчика</w:t>
      </w:r>
      <w:bookmarkEnd w:id="2"/>
    </w:p>
    <w:p>
      <w:pPr>
        <w:pStyle w:val="Normal"/>
        <w:jc w:val="both"/>
        <w:rPr/>
      </w:pPr>
      <w:r>
        <w:rPr/>
      </w:r>
    </w:p>
    <w:p>
      <w:pPr>
        <w:pStyle w:val="Heading3"/>
        <w:numPr>
          <w:ilvl w:val="0"/>
          <w:numId w:val="0"/>
        </w:numPr>
        <w:ind w:left="720" w:hanging="0"/>
        <w:jc w:val="right"/>
        <w:rPr>
          <w:rStyle w:val="BookTitle"/>
        </w:rPr>
      </w:pPr>
      <w:r>
        <w:rPr>
          <w:rStyle w:val="BookTitle"/>
        </w:rPr>
        <w:t>Таблица 1. Перечень объектов заказчика</w:t>
      </w:r>
    </w:p>
    <w:tbl>
      <w:tblPr>
        <w:tblStyle w:val="afe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92"/>
        <w:gridCol w:w="2041"/>
        <w:gridCol w:w="3026"/>
        <w:gridCol w:w="2101"/>
        <w:gridCol w:w="1485"/>
      </w:tblGrid>
      <w:tr>
        <w:trPr/>
        <w:tc>
          <w:tcPr>
            <w:tcW w:w="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204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30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Расположение объекта (место производства работ)</w:t>
            </w:r>
          </w:p>
        </w:tc>
        <w:tc>
          <w:tcPr>
            <w:tcW w:w="21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Наименование основного средства (в отношении которого выполняются работы)</w:t>
            </w:r>
          </w:p>
        </w:tc>
        <w:tc>
          <w:tcPr>
            <w:tcW w:w="14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Примечания</w:t>
            </w:r>
          </w:p>
        </w:tc>
      </w:tr>
      <w:tr>
        <w:trPr/>
        <w:tc>
          <w:tcPr>
            <w:tcW w:w="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1</w:t>
            </w:r>
          </w:p>
        </w:tc>
        <w:tc>
          <w:tcPr>
            <w:tcW w:w="204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2</w:t>
            </w:r>
          </w:p>
        </w:tc>
        <w:tc>
          <w:tcPr>
            <w:tcW w:w="30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3</w:t>
            </w:r>
          </w:p>
        </w:tc>
        <w:tc>
          <w:tcPr>
            <w:tcW w:w="21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4</w:t>
            </w:r>
          </w:p>
        </w:tc>
        <w:tc>
          <w:tcPr>
            <w:tcW w:w="14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1</w:t>
            </w:r>
          </w:p>
        </w:tc>
        <w:tc>
          <w:tcPr>
            <w:tcW w:w="204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Оборудование системы охранно-пожарной сигнализации оповещение о пожаре в машинном зале</w:t>
            </w:r>
          </w:p>
        </w:tc>
        <w:tc>
          <w:tcPr>
            <w:tcW w:w="302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Филиал ПАО РусГидро– Новосибирская ГЭС, Российская Федерация, Новосибирская область, г. Новосибирск, ул. Новоморская, д. 4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Границы производственной территории, здание Управления Новосибирской ГЭС.</w:t>
            </w:r>
          </w:p>
        </w:tc>
        <w:tc>
          <w:tcPr>
            <w:tcW w:w="21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НВ0000000398</w:t>
            </w:r>
          </w:p>
        </w:tc>
        <w:tc>
          <w:tcPr>
            <w:tcW w:w="14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Ликвидация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2</w:t>
            </w:r>
          </w:p>
        </w:tc>
        <w:tc>
          <w:tcPr>
            <w:tcW w:w="204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Оборудование пожарной сигнализации</w:t>
            </w:r>
          </w:p>
        </w:tc>
        <w:tc>
          <w:tcPr>
            <w:tcW w:w="302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</w:r>
          </w:p>
        </w:tc>
        <w:tc>
          <w:tcPr>
            <w:tcW w:w="21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НВ0000000786</w:t>
            </w:r>
          </w:p>
        </w:tc>
        <w:tc>
          <w:tcPr>
            <w:tcW w:w="14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Частич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ный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демонтаж</w:t>
            </w:r>
          </w:p>
        </w:tc>
      </w:tr>
      <w:tr>
        <w:trPr/>
        <w:tc>
          <w:tcPr>
            <w:tcW w:w="69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3</w:t>
            </w:r>
          </w:p>
        </w:tc>
        <w:tc>
          <w:tcPr>
            <w:tcW w:w="204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Оборудование пожарной сигнализации здания ГЭС</w:t>
            </w:r>
          </w:p>
        </w:tc>
        <w:tc>
          <w:tcPr>
            <w:tcW w:w="3026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</w:r>
          </w:p>
        </w:tc>
        <w:tc>
          <w:tcPr>
            <w:tcW w:w="210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</w:r>
          </w:p>
        </w:tc>
        <w:tc>
          <w:tcPr>
            <w:tcW w:w="148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Новый объект -Оборудование пожарной сигнализации здания ГЭС</w:t>
            </w:r>
          </w:p>
        </w:tc>
      </w:tr>
    </w:tbl>
    <w:p>
      <w:pPr>
        <w:pStyle w:val="Heading1"/>
        <w:rPr/>
      </w:pPr>
      <w:bookmarkStart w:id="3" w:name="_Toc211008550"/>
      <w:bookmarkStart w:id="4" w:name="_Toc238212496"/>
      <w:bookmarkStart w:id="5" w:name="_Toc176076015"/>
      <w:bookmarkStart w:id="6" w:name="_Toc176076269"/>
      <w:r>
        <w:rPr/>
        <w:t xml:space="preserve">Требования </w:t>
      </w:r>
      <w:bookmarkEnd w:id="5"/>
      <w:bookmarkEnd w:id="6"/>
      <w:r>
        <w:rPr/>
        <w:t xml:space="preserve">к </w:t>
      </w:r>
      <w:r>
        <w:rPr>
          <w:lang w:val="en-US"/>
        </w:rPr>
        <w:t>продукции</w:t>
      </w:r>
      <w:bookmarkEnd w:id="3"/>
      <w:bookmarkEnd w:id="4"/>
    </w:p>
    <w:p>
      <w:pPr>
        <w:pStyle w:val="Heading2"/>
        <w:rPr/>
      </w:pPr>
      <w:bookmarkStart w:id="7" w:name="_Toc176076270"/>
      <w:r>
        <w:rPr/>
        <w:t>Требования к объемам и срокам выполнения работ</w:t>
      </w:r>
      <w:bookmarkEnd w:id="7"/>
    </w:p>
    <w:p>
      <w:pPr>
        <w:pStyle w:val="Heading3"/>
        <w:rPr/>
      </w:pPr>
      <w:bookmarkStart w:id="8" w:name="_Toc176076271"/>
      <w:r>
        <w:rPr/>
        <w:t>Требования к видам и объемам работ</w:t>
      </w:r>
      <w:bookmarkEnd w:id="8"/>
    </w:p>
    <w:p>
      <w:pPr>
        <w:pStyle w:val="Heading3"/>
        <w:numPr>
          <w:ilvl w:val="0"/>
          <w:numId w:val="0"/>
        </w:numPr>
        <w:ind w:left="720" w:hanging="0"/>
        <w:jc w:val="right"/>
        <w:rPr>
          <w:rStyle w:val="BookTitle"/>
        </w:rPr>
      </w:pPr>
      <w:bookmarkStart w:id="9" w:name="_Toc176076272"/>
      <w:r>
        <w:rPr>
          <w:rStyle w:val="BookTitle"/>
        </w:rPr>
        <w:t>Таблица 2. Перечень и объем выполняемых работ</w:t>
      </w:r>
      <w:bookmarkEnd w:id="9"/>
    </w:p>
    <w:tbl>
      <w:tblPr>
        <w:tblStyle w:val="afe"/>
        <w:tblW w:w="94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92"/>
        <w:gridCol w:w="5419"/>
        <w:gridCol w:w="1824"/>
        <w:gridCol w:w="1544"/>
      </w:tblGrid>
      <w:tr>
        <w:trPr>
          <w:tblHeader w:val="true"/>
        </w:trPr>
        <w:tc>
          <w:tcPr>
            <w:tcW w:w="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lang w:val="en-US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 xml:space="preserve">№ </w:t>
            </w: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en-US" w:eastAsia="en-US" w:bidi="ar-SA"/>
              </w:rPr>
              <w:t>этапа/партии</w:t>
            </w:r>
          </w:p>
        </w:tc>
        <w:tc>
          <w:tcPr>
            <w:tcW w:w="54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/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Наименование этапа (состава работ) / партий оборудования</w:t>
            </w:r>
          </w:p>
        </w:tc>
        <w:tc>
          <w:tcPr>
            <w:tcW w:w="18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/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15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/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Количество</w:t>
            </w:r>
          </w:p>
        </w:tc>
      </w:tr>
      <w:tr>
        <w:trPr>
          <w:tblHeader w:val="true"/>
        </w:trPr>
        <w:tc>
          <w:tcPr>
            <w:tcW w:w="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</w:rPr>
            </w:pPr>
            <w:r>
              <w:rPr>
                <w:rStyle w:val="BookTitle"/>
                <w:rFonts w:eastAsia="Calibri" w:cs=""/>
                <w:kern w:val="2"/>
                <w:szCs w:val="22"/>
                <w:lang w:val="ru-RU" w:eastAsia="en-US" w:bidi="ar-SA"/>
              </w:rPr>
              <w:t>1</w:t>
            </w:r>
          </w:p>
        </w:tc>
        <w:tc>
          <w:tcPr>
            <w:tcW w:w="54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</w:rPr>
            </w:pPr>
            <w:r>
              <w:rPr>
                <w:rStyle w:val="BookTitle"/>
                <w:rFonts w:eastAsia="Calibri" w:cs=""/>
                <w:kern w:val="2"/>
                <w:szCs w:val="22"/>
                <w:lang w:val="ru-RU" w:eastAsia="en-US" w:bidi="ar-SA"/>
              </w:rPr>
              <w:t>2</w:t>
            </w:r>
          </w:p>
        </w:tc>
        <w:tc>
          <w:tcPr>
            <w:tcW w:w="18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</w:rPr>
            </w:pPr>
            <w:r>
              <w:rPr>
                <w:rStyle w:val="BookTitle"/>
                <w:rFonts w:eastAsia="Calibri" w:cs=""/>
                <w:kern w:val="2"/>
                <w:szCs w:val="22"/>
                <w:lang w:val="ru-RU" w:eastAsia="en-US" w:bidi="ar-SA"/>
              </w:rPr>
              <w:t>3</w:t>
            </w:r>
          </w:p>
        </w:tc>
        <w:tc>
          <w:tcPr>
            <w:tcW w:w="15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</w:rPr>
            </w:pPr>
            <w:r>
              <w:rPr>
                <w:rStyle w:val="BookTitle"/>
                <w:rFonts w:eastAsia="Calibri" w:cs=""/>
                <w:kern w:val="2"/>
                <w:szCs w:val="22"/>
                <w:lang w:val="ru-RU" w:eastAsia="en-US" w:bidi="ar-SA"/>
              </w:rPr>
              <w:t>4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Style w:val="BookTitle"/>
                <w:b w:val="false"/>
                <w:bCs w:val="false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1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cs=""/>
                <w:kern w:val="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Поставка ЗИП. Состав поставляемого оборудования соответствует Перечню и объему закупаемой продукции (Приложение 2 к настоящим ТТ).</w:t>
            </w:r>
          </w:p>
        </w:tc>
        <w:tc>
          <w:tcPr>
            <w:tcW w:w="336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В соответствии с РД шифр 12-26-ПС7 (Приложение 1 к настоящим ТТ)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2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электропитания СПС, СОУЭ и АУПТ</w:t>
            </w:r>
          </w:p>
        </w:tc>
        <w:tc>
          <w:tcPr>
            <w:tcW w:w="18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</w:r>
          </w:p>
        </w:tc>
        <w:tc>
          <w:tcPr>
            <w:tcW w:w="15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2.1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Разработка и согласование с Заказчиком ППР на СМР оборудования системы пожарной сигнализации, системы оповещения и управления эвакуацией, газового пожаротушения здания Новосибирской ГЭС</w:t>
            </w:r>
          </w:p>
        </w:tc>
        <w:tc>
          <w:tcPr>
            <w:tcW w:w="18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шт.</w:t>
            </w:r>
          </w:p>
        </w:tc>
        <w:tc>
          <w:tcPr>
            <w:tcW w:w="15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1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2.2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Разработка и согласование с Заказчиком ППРв на СМР оборудования системы пожарной сигнализации, системы оповещения и управления эвакуацией, газового пожаротушения здания Новосибирской ГЭС</w:t>
            </w:r>
          </w:p>
        </w:tc>
        <w:tc>
          <w:tcPr>
            <w:tcW w:w="182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шт.</w:t>
            </w:r>
          </w:p>
        </w:tc>
        <w:tc>
          <w:tcPr>
            <w:tcW w:w="15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1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2.3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Выполнение СМР и ПНР электропитания СПС, СОУЭ и АУПТ.</w:t>
            </w:r>
          </w:p>
        </w:tc>
        <w:tc>
          <w:tcPr>
            <w:tcW w:w="336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В соответствии с РД шифр 12-26-ЭМ (Приложение 1 к настоящим ТТ)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3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систем СПС и СОУЭ машинного зала. Автономная наладка и испытания.</w:t>
            </w:r>
          </w:p>
        </w:tc>
        <w:tc>
          <w:tcPr>
            <w:tcW w:w="336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В соответствии с РД шифр 12-26-ПС1 (Приложение 1 к настоящим ТТ)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4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систем СПС и СОУЭ АБК. Автономная наладка и испытания.</w:t>
            </w:r>
          </w:p>
        </w:tc>
        <w:tc>
          <w:tcPr>
            <w:tcW w:w="336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В соответствии с РД шифр 12-26-ПС2 (Приложение 1 к настоящим ТТ)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5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систем СПС и СОУЭ пристройки АБК. Автономная наладка и испытания.</w:t>
            </w:r>
          </w:p>
        </w:tc>
        <w:tc>
          <w:tcPr>
            <w:tcW w:w="336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В соответствии с РД шифр 12-26-ПС3 (Приложение 1 к настоящим ТТ)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6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систем СПС и СОУЭ щитового отделения. Автономная наладка и испытания.</w:t>
            </w:r>
          </w:p>
        </w:tc>
        <w:tc>
          <w:tcPr>
            <w:tcW w:w="336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В соответствии с РД шифр 12-26-ПС4 (Приложение 1 к настоящим ТТ)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7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систем СПС и СОУЭ мастерской ОРУ-110кВ. Автономная наладка и испытания.</w:t>
            </w:r>
          </w:p>
        </w:tc>
        <w:tc>
          <w:tcPr>
            <w:tcW w:w="336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В соответствии с РД шифр 12-26-ПС6 (Приложение 1 к настоящим ТТ)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8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Разработка и согласование с Заказчиком программы комплексных испытаний. Комплексная наладка и комплексные испытания СПС, СОУЭ и АУПТ. Оформление исполнительной документации. Ввод СПС, СОУЭ и АУПТ в эксплуатацию. Частичный демонтаж существующего оборудования пожарной сигнализации. Перемещение демонтированного оборудования, разделка, сортировка.</w:t>
            </w:r>
          </w:p>
        </w:tc>
        <w:tc>
          <w:tcPr>
            <w:tcW w:w="336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В соответствии с РД шифр 12-26-ПС8, 12-26-ПС9  (Приложение 1 к настоящим ТТ)</w:t>
            </w:r>
          </w:p>
        </w:tc>
      </w:tr>
      <w:tr>
        <w:trPr/>
        <w:tc>
          <w:tcPr>
            <w:tcW w:w="6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9</w:t>
            </w:r>
          </w:p>
        </w:tc>
        <w:tc>
          <w:tcPr>
            <w:tcW w:w="54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Демонтаж существующего оборудования системы охранно-пожарной сигнализации, оповещения о пожаре в машинном зале. Перемещение демонтированного оборудования, разделка, сортировка.</w:t>
            </w:r>
          </w:p>
        </w:tc>
        <w:tc>
          <w:tcPr>
            <w:tcW w:w="336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В соответствии с РД шифр 12-26-ПС9 (Приложение 1 к настоящим ТТ)</w:t>
            </w:r>
          </w:p>
        </w:tc>
      </w:tr>
    </w:tbl>
    <w:p>
      <w:pPr>
        <w:pStyle w:val="Heading3"/>
        <w:jc w:val="both"/>
        <w:rPr/>
      </w:pPr>
      <w:r>
        <w:rPr/>
        <w:t>Объем работ выполняется в соответствии с настоящими ТТ и переданной Заказчиком Подрядчику в производство работ РД (Приложение 1 к настоящим ТТ).</w:t>
      </w:r>
    </w:p>
    <w:p>
      <w:pPr>
        <w:pStyle w:val="Heading3"/>
        <w:jc w:val="both"/>
        <w:rPr/>
      </w:pPr>
      <w:r>
        <w:rPr/>
        <w:t>Настройка, конфигурирование и программирование контроллеров и оборудования выполняется специалистом, имеющим соответствующий документ (сертификат или удостоверение), подтверждающий наличие необходимых специальных знаний для выполнения работ по пуско-наладке и программированию оборудования и приборов пожарной, охранной сигнализации на базе интегрированной системы «Орион» НВП Болид, в соответствии с переданной Заказчиком в производство работ РД (Приложение 1 к настоящим ТТ) и технической документацией производителя оборудования (руководства по эксплуатации и иной документации, содержащей инструкции по настройке, конфигурированию, программированию).</w:t>
      </w:r>
    </w:p>
    <w:p>
      <w:pPr>
        <w:pStyle w:val="Heading1"/>
        <w:rPr/>
      </w:pPr>
      <w:bookmarkStart w:id="10" w:name="_Toc238212497"/>
      <w:r>
        <w:rPr/>
        <w:t>Требования к срокам выполнения работ</w:t>
      </w:r>
      <w:bookmarkEnd w:id="10"/>
    </w:p>
    <w:p>
      <w:pPr>
        <w:pStyle w:val="Heading2"/>
        <w:rPr/>
      </w:pPr>
      <w:r>
        <w:rPr/>
        <w:t>Требования к срокам выполнения работ представлены в Таблице 3.</w:t>
      </w:r>
    </w:p>
    <w:p>
      <w:pPr>
        <w:pStyle w:val="Normal"/>
        <w:rPr/>
      </w:pPr>
      <w:r>
        <w:rPr/>
      </w:r>
    </w:p>
    <w:p>
      <w:pPr>
        <w:pStyle w:val="Heading3"/>
        <w:numPr>
          <w:ilvl w:val="0"/>
          <w:numId w:val="0"/>
        </w:numPr>
        <w:ind w:left="720" w:hanging="0"/>
        <w:jc w:val="right"/>
        <w:rPr>
          <w:rStyle w:val="BookTitle"/>
        </w:rPr>
      </w:pPr>
      <w:bookmarkStart w:id="11" w:name="_Toc176076275"/>
      <w:r>
        <w:rPr>
          <w:rStyle w:val="BookTitle"/>
        </w:rPr>
        <w:t>Таблица 3. Требования к срокам выполнения работ</w:t>
      </w:r>
      <w:bookmarkEnd w:id="11"/>
    </w:p>
    <w:tbl>
      <w:tblPr>
        <w:tblStyle w:val="afe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78"/>
        <w:gridCol w:w="3412"/>
        <w:gridCol w:w="2551"/>
        <w:gridCol w:w="1408"/>
        <w:gridCol w:w="1711"/>
      </w:tblGrid>
      <w:tr>
        <w:trPr>
          <w:tblHeader w:val="true"/>
        </w:trPr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/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 xml:space="preserve">№ </w:t>
            </w: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этапа/ партии</w:t>
            </w:r>
          </w:p>
        </w:tc>
        <w:tc>
          <w:tcPr>
            <w:tcW w:w="34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/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Наименование работ / этапа работ/партии оборудования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rFonts w:eastAsia="Calibri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Объект</w:t>
            </w:r>
          </w:p>
        </w:tc>
        <w:tc>
          <w:tcPr>
            <w:tcW w:w="140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/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Требования к началу срока выполнения работ / этапа работ</w:t>
            </w:r>
          </w:p>
        </w:tc>
        <w:tc>
          <w:tcPr>
            <w:tcW w:w="171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bCs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Требования к окончанию срока выполнения работ / этапа работ</w:t>
            </w:r>
          </w:p>
        </w:tc>
      </w:tr>
      <w:tr>
        <w:trPr>
          <w:tblHeader w:val="true"/>
        </w:trPr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</w:rPr>
            </w:pPr>
            <w:r>
              <w:rPr>
                <w:rStyle w:val="BookTitle"/>
                <w:rFonts w:eastAsia="Calibri" w:cs=""/>
                <w:kern w:val="2"/>
                <w:szCs w:val="22"/>
                <w:lang w:val="ru-RU" w:eastAsia="en-US" w:bidi="ar-SA"/>
              </w:rPr>
              <w:t>1</w:t>
            </w:r>
          </w:p>
        </w:tc>
        <w:tc>
          <w:tcPr>
            <w:tcW w:w="34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</w:rPr>
            </w:pPr>
            <w:r>
              <w:rPr>
                <w:rStyle w:val="BookTitle"/>
                <w:rFonts w:eastAsia="Calibri" w:cs=""/>
                <w:kern w:val="2"/>
                <w:szCs w:val="22"/>
                <w:lang w:val="ru-RU" w:eastAsia="en-US" w:bidi="ar-SA"/>
              </w:rPr>
              <w:t>2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rFonts w:eastAsia="Calibri"/>
              </w:rPr>
            </w:pPr>
            <w:r>
              <w:rPr>
                <w:rStyle w:val="BookTitle"/>
                <w:rFonts w:eastAsia="Calibri" w:cs=""/>
                <w:kern w:val="2"/>
                <w:szCs w:val="22"/>
                <w:lang w:val="ru-RU" w:eastAsia="en-US" w:bidi="ar-SA"/>
              </w:rPr>
              <w:t>3</w:t>
            </w:r>
          </w:p>
        </w:tc>
        <w:tc>
          <w:tcPr>
            <w:tcW w:w="140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</w:rPr>
            </w:pPr>
            <w:r>
              <w:rPr>
                <w:rStyle w:val="BookTitle"/>
                <w:rFonts w:eastAsia="Calibri" w:cs=""/>
                <w:kern w:val="2"/>
                <w:szCs w:val="22"/>
                <w:lang w:val="ru-RU" w:eastAsia="en-US" w:bidi="ar-SA"/>
              </w:rPr>
              <w:t>4</w:t>
            </w:r>
          </w:p>
        </w:tc>
        <w:tc>
          <w:tcPr>
            <w:tcW w:w="171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</w:rPr>
            </w:pPr>
            <w:r>
              <w:rPr>
                <w:rStyle w:val="BookTitle"/>
                <w:rFonts w:eastAsia="Calibri" w:cs=""/>
                <w:kern w:val="2"/>
                <w:szCs w:val="22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1</w:t>
            </w:r>
          </w:p>
        </w:tc>
        <w:tc>
          <w:tcPr>
            <w:tcW w:w="3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Style w:val="BookTitle"/>
                <w:b w:val="false"/>
                <w:bCs w:val="false"/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Поставка ЗИП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.</w:t>
            </w:r>
          </w:p>
        </w:tc>
        <w:tc>
          <w:tcPr>
            <w:tcW w:w="255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  <w:t>С даты, следующей за датой заключения договора</w:t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  <w:lang w:val="en-US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en-US" w:eastAsia="en-US" w:bidi="ar-SA"/>
              </w:rPr>
              <w:t>15.04.2027</w:t>
            </w:r>
          </w:p>
        </w:tc>
      </w:tr>
      <w:tr>
        <w:trPr/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rFonts w:eastAsia="Calibri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2</w:t>
            </w:r>
          </w:p>
        </w:tc>
        <w:tc>
          <w:tcPr>
            <w:tcW w:w="3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электропитания СПС, СОУЭ и АУПТ.</w:t>
            </w:r>
          </w:p>
        </w:tc>
        <w:tc>
          <w:tcPr>
            <w:tcW w:w="2551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Оборудование пожарной сигнализации здания ГЭС</w:t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  <w:t>С даты, следующей за датой заключения договора</w:t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01.09.2027</w:t>
            </w:r>
          </w:p>
        </w:tc>
      </w:tr>
      <w:tr>
        <w:trPr/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rFonts w:eastAsia="Calibri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3</w:t>
            </w:r>
          </w:p>
        </w:tc>
        <w:tc>
          <w:tcPr>
            <w:tcW w:w="3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систем СПС и СОУЭ машинного зала. А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втономная наладка и испытания.</w:t>
            </w:r>
          </w:p>
        </w:tc>
        <w:tc>
          <w:tcPr>
            <w:tcW w:w="255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  <w:t>С даты, следующей за датой заключения договора</w:t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01.09.2027</w:t>
            </w:r>
          </w:p>
        </w:tc>
      </w:tr>
      <w:tr>
        <w:trPr/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rFonts w:eastAsia="Calibri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4</w:t>
            </w:r>
          </w:p>
        </w:tc>
        <w:tc>
          <w:tcPr>
            <w:tcW w:w="3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систем СПС и СОУЭ АБК. А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втономная наладка и испытания.</w:t>
            </w:r>
          </w:p>
        </w:tc>
        <w:tc>
          <w:tcPr>
            <w:tcW w:w="255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  <w:t>С даты, следующей за датой заключения договора</w:t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14.05.2027</w:t>
            </w:r>
          </w:p>
        </w:tc>
      </w:tr>
      <w:tr>
        <w:trPr/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rFonts w:eastAsia="Calibri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5</w:t>
            </w:r>
          </w:p>
        </w:tc>
        <w:tc>
          <w:tcPr>
            <w:tcW w:w="3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систем СПС и СОУЭ пристройки АБК. А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втономная наладка и испытания.</w:t>
            </w:r>
          </w:p>
        </w:tc>
        <w:tc>
          <w:tcPr>
            <w:tcW w:w="255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  <w:t>С даты, следующей за датой заключения договора</w:t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14.05.2027</w:t>
            </w:r>
          </w:p>
        </w:tc>
      </w:tr>
      <w:tr>
        <w:trPr/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rFonts w:eastAsia="Calibri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6</w:t>
            </w:r>
          </w:p>
        </w:tc>
        <w:tc>
          <w:tcPr>
            <w:tcW w:w="3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систем СПС и СОУЭ щитового отделения. А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втономная наладка и испытания.</w:t>
            </w:r>
          </w:p>
        </w:tc>
        <w:tc>
          <w:tcPr>
            <w:tcW w:w="255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  <w:t>С даты, следующей за датой заключения договора</w:t>
            </w:r>
            <w:bookmarkStart w:id="12" w:name="_GoBack"/>
            <w:bookmarkEnd w:id="12"/>
          </w:p>
        </w:tc>
        <w:tc>
          <w:tcPr>
            <w:tcW w:w="1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14.05.2027</w:t>
            </w:r>
          </w:p>
        </w:tc>
      </w:tr>
      <w:tr>
        <w:trPr/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rFonts w:eastAsia="Calibri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en-US" w:eastAsia="en-US" w:bidi="ar-SA"/>
              </w:rPr>
              <w:t>7</w:t>
            </w:r>
          </w:p>
        </w:tc>
        <w:tc>
          <w:tcPr>
            <w:tcW w:w="3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СМР и ПНР систем СПС и СОУЭ мастерской ОРУ-110кВ. А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втономная наладка и испытания.</w:t>
            </w:r>
          </w:p>
        </w:tc>
        <w:tc>
          <w:tcPr>
            <w:tcW w:w="255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  <w:t>15.05.2027</w:t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01.09.2027</w:t>
            </w:r>
          </w:p>
        </w:tc>
      </w:tr>
      <w:tr>
        <w:trPr/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rFonts w:eastAsia="Calibri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en-US" w:eastAsia="en-US" w:bidi="ar-SA"/>
              </w:rPr>
              <w:t>8</w:t>
            </w:r>
          </w:p>
        </w:tc>
        <w:tc>
          <w:tcPr>
            <w:tcW w:w="3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 xml:space="preserve">Разработка и согласование с Заказчиком программы комплексных испытаний. Комплексная наладка и комплексные испытания СПС, СОУЭ и АУПТ. Оформление исполнительной документации. 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Ввод СПС, СОУЭ и АУПТ в эксплуатацию.</w:t>
            </w:r>
          </w:p>
        </w:tc>
        <w:tc>
          <w:tcPr>
            <w:tcW w:w="255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Оборудование пожарной сигнализации здания ГЭС</w:t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  <w:t>01.</w:t>
            </w:r>
            <w:r>
              <w:rPr>
                <w:rFonts w:eastAsia="MS Mincho" w:cs="Times New Roman"/>
                <w:kern w:val="2"/>
                <w:szCs w:val="24"/>
                <w:lang w:val="en-US" w:eastAsia="en-US" w:bidi="ar-SA"/>
              </w:rPr>
              <w:t>04</w:t>
            </w: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  <w:t>.2027</w:t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01.09.2027</w:t>
            </w:r>
          </w:p>
        </w:tc>
      </w:tr>
      <w:tr>
        <w:trPr/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rFonts w:eastAsia="Calibri"/>
                <w:b w:val="false"/>
                <w:bCs w:val="false"/>
                <w:lang w:val="en-US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en-US" w:eastAsia="en-US" w:bidi="ar-SA"/>
              </w:rPr>
              <w:t>9</w:t>
            </w:r>
          </w:p>
        </w:tc>
        <w:tc>
          <w:tcPr>
            <w:tcW w:w="3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Демонтаж существующего оборудования СПС, СОУЭ и АУПТ. Перемещение демонтированного оборудования, разделка, сортировка.</w:t>
            </w:r>
          </w:p>
        </w:tc>
        <w:tc>
          <w:tcPr>
            <w:tcW w:w="255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Оборудование системы охранно-пожарной сигнализации оповещение о пожаре в машинном зале НВ0000000398</w:t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eastAsia="MS Mincho" w:cs="Times New Roman"/>
                <w:szCs w:val="24"/>
              </w:rPr>
            </w:pPr>
            <w:r>
              <w:rPr>
                <w:rFonts w:eastAsia="MS Mincho" w:cs="Times New Roman"/>
                <w:kern w:val="2"/>
                <w:szCs w:val="24"/>
                <w:lang w:val="ru-RU" w:eastAsia="en-US" w:bidi="ar-SA"/>
              </w:rPr>
              <w:t>01.06.2027</w:t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Style w:val="BookTitle"/>
                <w:b w:val="false"/>
                <w:bCs w:val="false"/>
              </w:rPr>
            </w:pPr>
            <w:r>
              <w:rPr>
                <w:rStyle w:val="BookTitle"/>
                <w:rFonts w:eastAsia="Calibri" w:cs=""/>
                <w:b w:val="false"/>
                <w:bCs w:val="false"/>
                <w:kern w:val="2"/>
                <w:szCs w:val="22"/>
                <w:lang w:val="ru-RU" w:eastAsia="en-US" w:bidi="ar-SA"/>
              </w:rPr>
              <w:t>01.09.2027</w:t>
            </w:r>
          </w:p>
        </w:tc>
      </w:tr>
    </w:tbl>
    <w:p>
      <w:pPr>
        <w:pStyle w:val="Heading1"/>
        <w:rPr/>
      </w:pPr>
      <w:bookmarkStart w:id="13" w:name="_Toc238212498"/>
      <w:r>
        <w:rPr/>
        <w:t>Требования к качеству работ</w:t>
      </w:r>
      <w:bookmarkEnd w:id="13"/>
    </w:p>
    <w:p>
      <w:pPr>
        <w:pStyle w:val="Heading2"/>
        <w:rPr/>
      </w:pPr>
      <w:r>
        <w:rPr/>
        <w:t>Требования к качеству поставляемой продукции</w:t>
      </w:r>
    </w:p>
    <w:p>
      <w:pPr>
        <w:pStyle w:val="Heading3"/>
        <w:rPr/>
      </w:pPr>
      <w:r>
        <w:rPr/>
        <w:t>Характеристики поставляемой продукции должны соответствовать Требованиям к качеству поставляемой продукции согласно Таблице 4.</w:t>
      </w:r>
    </w:p>
    <w:p>
      <w:pPr>
        <w:pStyle w:val="Heading2"/>
        <w:rPr/>
      </w:pPr>
      <w:r>
        <w:rPr>
          <w:lang w:val="en-US"/>
        </w:rPr>
        <w:t>Требования к качеству выполнения работ</w:t>
      </w:r>
    </w:p>
    <w:p>
      <w:pPr>
        <w:sect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Heading3"/>
        <w:rPr/>
      </w:pPr>
      <w:r>
        <w:rPr/>
        <w:t>Качество выполняемых работ должно соответствовать Требованиям к качеству выполнения работ согласно Таблице 5.</w:t>
      </w:r>
    </w:p>
    <w:p>
      <w:pPr>
        <w:pStyle w:val="Normal"/>
        <w:jc w:val="right"/>
        <w:rPr>
          <w:b/>
        </w:rPr>
      </w:pPr>
      <w:r>
        <w:rPr>
          <w:b/>
        </w:rPr>
        <w:t>Таблица 4. Требования к качеству поставляемой продукции</w:t>
      </w:r>
    </w:p>
    <w:tbl>
      <w:tblPr>
        <w:tblW w:w="14570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824"/>
        <w:gridCol w:w="2866"/>
        <w:gridCol w:w="5668"/>
        <w:gridCol w:w="1636"/>
        <w:gridCol w:w="1814"/>
        <w:gridCol w:w="1761"/>
      </w:tblGrid>
      <w:tr>
        <w:trPr>
          <w:tblHeader w:val="true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Требование Заказчика</w:t>
            </w: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>
        <w:trPr>
          <w:tblHeader w:val="true"/>
        </w:trPr>
        <w:tc>
          <w:tcPr>
            <w:tcW w:w="8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blHeader w:val="true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Общие требования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 доставки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Продукция должна быть доставлена Подрядчиком на склад Заказчика по адресу: 630056 г. Новосибирск, ул. Новоморская, д.4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Упаковка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Индивидуальная упаковка с товарным знаком предприятия изготовителя, с наименованием продукции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1.3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Срок гарантии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Не менее 36 месяцев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качеству, комплектности, количеству и ассортименту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Качество, комплектность, количество и ассортимент поставляемого оборудования должны соответствовать спецификациям РД (Приложение 1 к настоящим ТТ). Поставляемое оборудование должно быть новым, не бывшим в употреблении, пригодным для использования по своему назначению. Поставщик гарантирует, оборудование принадлежит ему на законном основании, в споре, залоге или под арестом не состоит, и не обременен правами третьих лиц.</w:t>
            </w:r>
          </w:p>
          <w:p>
            <w:pPr>
              <w:pStyle w:val="Style9"/>
              <w:widowControl w:val="false"/>
              <w:tabs>
                <w:tab w:val="clear" w:pos="708"/>
                <w:tab w:val="right" w:pos="5558" w:leader="none"/>
              </w:tabs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изготовления оборудования не ранее 2026 года.</w:t>
            </w:r>
          </w:p>
          <w:p>
            <w:pPr>
              <w:pStyle w:val="Style9"/>
              <w:widowControl w:val="false"/>
              <w:tabs>
                <w:tab w:val="clear" w:pos="708"/>
                <w:tab w:val="right" w:pos="5558" w:leader="none"/>
              </w:tabs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Одновременно с передачей оборудования Поставщик обязан передать Заказчику оригиналы следующих относящихся к Товару документов: </w:t>
            </w:r>
          </w:p>
          <w:p>
            <w:pPr>
              <w:pStyle w:val="Style9"/>
              <w:widowControl w:val="false"/>
              <w:tabs>
                <w:tab w:val="clear" w:pos="708"/>
                <w:tab w:val="right" w:pos="5558" w:leader="none"/>
              </w:tabs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технический паспорт на русском языке;</w:t>
            </w:r>
          </w:p>
          <w:p>
            <w:pPr>
              <w:pStyle w:val="Style9"/>
              <w:widowControl w:val="false"/>
              <w:tabs>
                <w:tab w:val="clear" w:pos="708"/>
                <w:tab w:val="right" w:pos="5558" w:leader="none"/>
              </w:tabs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инструкция по эксплуатации на русском языке;</w:t>
            </w:r>
          </w:p>
          <w:p>
            <w:pPr>
              <w:pStyle w:val="Style9"/>
              <w:widowControl w:val="false"/>
              <w:tabs>
                <w:tab w:val="clear" w:pos="708"/>
                <w:tab w:val="right" w:pos="5558" w:leader="none"/>
              </w:tabs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упаковочный лист;</w:t>
            </w:r>
          </w:p>
          <w:p>
            <w:pPr>
              <w:pStyle w:val="Style9"/>
              <w:widowControl w:val="false"/>
              <w:tabs>
                <w:tab w:val="clear" w:pos="708"/>
                <w:tab w:val="right" w:pos="5558" w:leader="none"/>
              </w:tabs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сертификат о происхождении товара и т.п.) в зависимости от номенклатуры поставляемого оборудования;</w:t>
            </w:r>
          </w:p>
          <w:p>
            <w:pPr>
              <w:pStyle w:val="Style9"/>
              <w:widowControl w:val="false"/>
              <w:tabs>
                <w:tab w:val="clear" w:pos="708"/>
                <w:tab w:val="right" w:pos="5558" w:leader="none"/>
              </w:tabs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Протокол испытаний кабельной продукции на соответствие требованиям пожарной безопасности;</w:t>
            </w:r>
          </w:p>
          <w:p>
            <w:pPr>
              <w:pStyle w:val="Style9"/>
              <w:widowControl w:val="false"/>
              <w:tabs>
                <w:tab w:val="clear" w:pos="708"/>
                <w:tab w:val="right" w:pos="5558" w:leader="none"/>
              </w:tabs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товарно-транспортная накладная формы № 1-Т (для учета товарно-материальных ценностей и расчетов за их перевозки) или транспортная железнодорожная накладная (форма № ГУ-27);</w:t>
            </w:r>
          </w:p>
          <w:p>
            <w:pPr>
              <w:pStyle w:val="Style9"/>
              <w:widowControl w:val="false"/>
              <w:tabs>
                <w:tab w:val="clear" w:pos="708"/>
                <w:tab w:val="right" w:pos="5558" w:leader="none"/>
              </w:tabs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накладная ТОРГ-12/УПД.</w:t>
            </w:r>
          </w:p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Оборудование должно отгружаться Поставщиком в таре и упаковке, обеспечивающих полную сохранность оборудования от всякого рода повреждений согласно руководству по эксплуатации для исключения порчи с учетом возможных перегрузок и длительного хранения.</w:t>
              <w:tab/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выбору марки поставляемого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Согласно РД (Приложение 1 к настоящим ТТ).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1.6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выбору производителя поставляемого оборудования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Согласно РД (Приложение 1 к настоящим ТТ).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  <w:highlight w:val="green"/>
        </w:rPr>
      </w:pPr>
      <w:r>
        <w:rPr>
          <w:b/>
          <w:highlight w:val="green"/>
        </w:rPr>
      </w:r>
    </w:p>
    <w:p>
      <w:pPr>
        <w:pStyle w:val="Normal"/>
        <w:jc w:val="right"/>
        <w:rPr>
          <w:b/>
          <w:highlight w:val="green"/>
        </w:rPr>
      </w:pPr>
      <w:r>
        <w:rPr>
          <w:b/>
          <w:highlight w:val="green"/>
        </w:rPr>
      </w:r>
    </w:p>
    <w:p>
      <w:pPr>
        <w:pStyle w:val="Normal"/>
        <w:jc w:val="right"/>
        <w:rPr>
          <w:b/>
          <w:highlight w:val="green"/>
        </w:rPr>
      </w:pPr>
      <w:r>
        <w:rPr>
          <w:b/>
          <w:highlight w:val="green"/>
        </w:rPr>
      </w:r>
    </w:p>
    <w:p>
      <w:pPr>
        <w:pStyle w:val="Normal"/>
        <w:jc w:val="right"/>
        <w:rPr>
          <w:b/>
          <w:highlight w:val="green"/>
        </w:rPr>
      </w:pPr>
      <w:r>
        <w:rPr>
          <w:b/>
          <w:highlight w:val="green"/>
        </w:rPr>
      </w:r>
    </w:p>
    <w:p>
      <w:pPr>
        <w:pStyle w:val="Normal"/>
        <w:jc w:val="right"/>
        <w:rPr>
          <w:b/>
        </w:rPr>
      </w:pPr>
      <w:r>
        <w:rPr>
          <w:b/>
        </w:rPr>
        <w:t>Таблица 5. Требования к качеству выполнения работ</w:t>
      </w:r>
    </w:p>
    <w:tbl>
      <w:tblPr>
        <w:tblW w:w="14570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824"/>
        <w:gridCol w:w="2866"/>
        <w:gridCol w:w="5668"/>
        <w:gridCol w:w="1636"/>
        <w:gridCol w:w="1814"/>
        <w:gridCol w:w="1761"/>
      </w:tblGrid>
      <w:tr>
        <w:trPr>
          <w:tblHeader w:val="true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5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Требование Заказчика</w:t>
            </w: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>
        <w:trPr>
          <w:tblHeader w:val="true"/>
        </w:trPr>
        <w:tc>
          <w:tcPr>
            <w:tcW w:w="8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7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blHeader w:val="true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numPr>
                <w:ilvl w:val="0"/>
                <w:numId w:val="3"/>
              </w:numPr>
              <w:ind w:hanging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Требования к выполнению работ 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Общие требования к выполнению работ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1. Работы выполняются в соответствии с переданной в производство работ РД (Приложение 1 к настоящим ТТ), паспортами и технической эксплуатационной документацией изготовителей оборудования.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2. В ходе выполнения работ Подрядчик должен обеспечить исполнение технических решений, рабочей документации в полном объеме.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3. Подрядчик должен разработать КСГ производства работ с понедельной разбивкой. КСГ подлежит утверждению Заказчиком. Работы производятся в полном соответствии с КСГ. Работы выполняются поэтапно, согласно срокам КСГ.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4. Разработанные Подрядчиком ППР, ППРв направляются на согласование Заказчику не менее чем за 14 календарных дней до начала выполнения работ этапа 3 таблицы 3 «Требования к срокам выполнения работ» и утверждаются Заказчиком не позднее чем за три календарных дня до начала выполнения работ.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5. Объем проводимых работ, в т.ч. по индивидуальным и комплексным испытаниям смонтированных СПС, СОУЭ и АУПТ, должен соответствовать требованиям следующих НТД: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ГОСТ Р 59636-2021 «Установки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ГОСТ Р 59638-2021 «Системы пожарной сигнализации. Руководство по проектированию, монтажу, техническому обслуживанию и ремонту. Методы испытаний на работоспособность»;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ГОСТ Р 59639-2021 «Системы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ГОСТ 31565-2012 «Кабельные изделия. Требования пожарной безопасности»;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СП 6.13130.2025 «Система обеспечения пожарной безопасности объекта защиты. Электроустановки низковольтные. Требования пожарной безопасности»;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СП 3.13130.2026 «Системы противопожарной защиты. Система оповещения и управления эвакуацией людей при пожаре. Требования пожарной безопасности»;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СП 484.1311500.2020 Системы противопожарной защиты. Системы пожарной сигнализации и автоматизация систем противопожарной защиты. Нормы и правила проектирования;</w:t>
            </w:r>
          </w:p>
          <w:p>
            <w:pPr>
              <w:pStyle w:val="Heading1"/>
              <w:widowControl w:val="false"/>
              <w:numPr>
                <w:ilvl w:val="0"/>
                <w:numId w:val="3"/>
              </w:numPr>
              <w:jc w:val="both"/>
              <w:rPr>
                <w:rFonts w:eastAsia="Calibri"/>
                <w:b w:val="false"/>
                <w:color w:val="000000"/>
                <w:sz w:val="20"/>
                <w:szCs w:val="20"/>
              </w:rPr>
            </w:pPr>
            <w:r>
              <w:rPr>
                <w:rFonts w:eastAsia="Calibri"/>
                <w:b w:val="false"/>
                <w:color w:val="000000"/>
                <w:sz w:val="20"/>
                <w:szCs w:val="20"/>
              </w:rPr>
              <w:t>СП 485.1311500.2020. Свод правил. Системы противопожарной защиты. Установки пожаротушения автоматические. Нормы и правила проектирования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СП 486.1311500.2020. Свод правил. 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6. Работы выполняются с оформлением необходимых нарядов-допусков и/или распоряжений.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7. При выполнении работ Подрядчик обязан обеспечить соблюдение технологической, производственной и трудовой дисциплины, установленной в филиале ПАО «РусГидро»-«Новосибирская ГЭС».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8. Все дефекты, аварийные ситуации и их последствия, произошедшие по вине Подрядчика, устраняются силами и средствами Подрядчика.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9. Подрядчиком осуществляется ежесменная уборка рабочего места и вывоз отходов в места, указанные Заказчиком.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10. После выполнения демонтажных работ подрядчиком выполняются строительно-восстановительные работы по благоустройству прилегающей к оборудованию площадки (восстановление потолков и напольного покрытия, покраска стен и конструкций и т.д.).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11. В целях предупреждения производственного травматизма, повышения ответственности у работников, организующих и выполняющих работы, на которых могут распространяться производственные факторы филиала ПАО «РусГидро» - «Новосибирская ГЭС», персонал Подрядчика должен учитывать требования политики группы РусГидро в области охраны труда (Приложение 3 к настоящим ТТ).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12. Для контроля выполнения работ и соблюдения требований правил по охране труда Заказчик устанавливает средства видеофиксации.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при выполнении работ требований и правил федеральных законов, нормативно-правовых актов, нормативно-технических документов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1. При выполнении работ подрядчик должен руководствоваться следующими НТД: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Федеральный закон "Технический регламент о требованиях пожарной безопасности" от 22.07.2008 № 123-ФЗ (последняя редакция);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Федеральный закон "О пожарной безопасности" от 21.12.1994 № 69-ФЗ (последняя редакция);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Приказ Минэнерго России от 04.10.2022 № 1070 "Об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№ 757, от 12 июля 2018 г. № 548";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Правила устройства электроустановок Российской Федерации (ПУЭ) издания № 6, 7;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Правила по охране труда при эксплуатации электроустановок (утверждены приказом Министерства труда и социальной защиты от 15.12.2020 №903н), с изменениями и дополнениями;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Правила по охране труда при размещении, монтаже, техническом обслуживании и ремонте технологического оборудования (утверждены приказом Минтруда России от 27.11.2020 №833н);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Правила по охране труда при работе на высоте (утверждены приказом Минтруда России от 16.11.2020 № 782н);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Правила по охране труда при работе с инструментом и приспособлениями (утверждены приказом Минтруда России от 27.11.2020 №835н);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Правила противопожарного режима в РФ, утвержденные Постановлением Правительства РФ от 16.09.2020 №1479;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РД 009-01-96 «Установки пожарной автоматики»;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sz w:val="20"/>
                <w:szCs w:val="20"/>
              </w:rPr>
              <w:t>РД 34.45-51.300-97 «Объём и нормы испытания электрооборудования»;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sz w:val="20"/>
                <w:szCs w:val="20"/>
              </w:rPr>
              <w:t>ГОСТ 31565-2012 «Кабельные изделия. Требования пожарной безопасности»;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ГОСТ Р 59636-2021 «Установки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ГОСТ Р 59638-2021 «Системы пожарной сигнализации. Руководство по проектированию, монтажу, техническому обслуживанию и ремонту. Методы испытаний на работоспособность»;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ГОСТ Р 59639-2021 «Системы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СП 3.13130 «Системы противопожарной защиты. Система оповещения и управления эвакуацией людей при пожаре. Требования пожарной безопасности»;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 xml:space="preserve">СП 76.13330.2016 </w:t>
            </w:r>
            <w:r>
              <w:rPr>
                <w:rFonts w:eastAsia="Calibri"/>
                <w:color w:val="000000"/>
                <w:sz w:val="20"/>
                <w:szCs w:val="20"/>
              </w:rPr>
              <w:t>«Электротехничсекие устройства»;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jc w:val="both"/>
              <w:rPr/>
            </w:pPr>
            <w:r>
              <w:rPr>
                <w:color w:val="000000"/>
                <w:sz w:val="20"/>
                <w:szCs w:val="20"/>
              </w:rPr>
              <w:t xml:space="preserve">СП 6.13130.2025 </w:t>
            </w:r>
            <w:r>
              <w:rPr>
                <w:rFonts w:eastAsia="Calibri"/>
                <w:color w:val="000000"/>
                <w:sz w:val="20"/>
                <w:szCs w:val="20"/>
              </w:rPr>
              <w:t>«Система обеспечения пожарной безопасности объекта защиты. Электроустановки низковольтные. Требования пожарной безопасности».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Регламент по организации уборки рабочих мест при выполнении ремонтных и строительных работ в машинном зале и действующих электроустановках, утв.  приказом филиала ПАО «РусГидро» - «Новосибирская ГЭС» от 23.11.2020 г. №НГЭС/93-395 (Приложение 4 к настоящим ТТ);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Регламент процесса «Допуск персонала подрядных организаций на объекты ПАО "РусГидро"», утв. приказом ПАО «РусГидро» от 28.04.2023 № 300 (Приложение 5 к настоящим ТТ);</w:t>
            </w:r>
          </w:p>
          <w:p>
            <w:pPr>
              <w:pStyle w:val="Style9"/>
              <w:widowControl w:val="false"/>
              <w:numPr>
                <w:ilvl w:val="0"/>
                <w:numId w:val="3"/>
              </w:numPr>
              <w:rPr/>
            </w:pPr>
            <w:r>
              <w:rPr>
                <w:color w:val="000000"/>
                <w:sz w:val="20"/>
                <w:szCs w:val="20"/>
              </w:rPr>
              <w:t>Порядок представления и согласования исполнительной документации на выполненные работы при реализации инвестиционных проектов в ходе строительства, технического перевооружения и реконструкции объектов Группы РусГидро, утв. распоряжением ПАО «РусГидро» от 14.08.2023 № 358р (Приложение 6 к настоящим ТТ);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СП 484.1311500.2020 Системы противопожарной защиты. Системы пожарной сигнализации и автоматизация систем противопожарной защиты. Нормы и правила проектирования;</w:t>
            </w:r>
          </w:p>
          <w:p>
            <w:pPr>
              <w:pStyle w:val="Heading1"/>
              <w:widowControl w:val="false"/>
              <w:numPr>
                <w:ilvl w:val="0"/>
                <w:numId w:val="3"/>
              </w:numPr>
              <w:jc w:val="both"/>
              <w:rPr>
                <w:rFonts w:eastAsia="Calibri"/>
                <w:b w:val="false"/>
                <w:color w:val="000000"/>
                <w:sz w:val="20"/>
                <w:szCs w:val="20"/>
              </w:rPr>
            </w:pPr>
            <w:r>
              <w:rPr>
                <w:rFonts w:eastAsia="Calibri"/>
                <w:b w:val="false"/>
                <w:color w:val="000000"/>
                <w:sz w:val="20"/>
                <w:szCs w:val="20"/>
              </w:rPr>
              <w:t>СП 485.1311500.2020. Свод правил. Системы противопожарной защиты. Установки пожаротушения автоматические. Нормы и правила проектирования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СП 486.1311500.2020. Свод правил. 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безопасности.</w:t>
            </w:r>
          </w:p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2. Указанные в перечне нормативной документации стандарты организации и руководящие документы, не являются исчерпывающими, не противоречат требованиям федерального законодательства, федеральной нормативной документации и ГОСТ, позволяют обеспечить выполнение обязательных требований, установленных законодательством в области повышения безопасности и надежности эксплуатации электрооборудования, снижение уровня ошибок, безопасного проведения работ, обеспечить защищённость Новосибирской ГЭС, как объекта повышенной опасности, от аварий и катастроф.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b/>
                <w:color w:val="000000"/>
                <w:sz w:val="20"/>
                <w:szCs w:val="20"/>
              </w:rPr>
              <w:t>Требования к организации работ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1. Организация работ выполняется согласно Правилам охраны труда в действующих электроустановках в полном соответствии с отраслевым НТД.</w:t>
            </w:r>
          </w:p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2. Допуск персонала Подрядчика для выполнения работ должен осуществляться в соответствии с требованиями Регламента процесса «Допуск персонала подрядных организаций на объекты ПАО "РусГидро"», утв. приказом ПАО «РусГидро» от 28.04.2023 № 300 (Приложение 5 к настоящим ТТ).</w:t>
            </w:r>
          </w:p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3. Допуск персонала Подрядчика и автомобильного транспорта, задействованного для выполнения работ, осуществляется в соответствии с Положением о пропускном и внутриобъектовом режимах (утв. приказом филиала ПАО «РусГидро» - «Новосибирская ГЭС» от 19.03.2025 № НГЭС/93-108) (Приложение 7 к настоящим ТТ).</w:t>
            </w:r>
          </w:p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4. Подрядчик обеспечивает при производстве работ на высоте наличие и применение средств индивидуальной и коллективной защиты от падения с высоты, а также наличие и при необходимости применение средств спасения и эвакуации.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ППР и ППРв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1. ППР разработать в составе и содержании в соответствии с СП 48.13330.2019. «Свод правил. Организация строительства. СНиП 12-01-2004» и Регламентом разработки проектов производства работ в филиале ПАО «РусГидро»- «Новосибирская ГЭС», утв. приказом филиала ПАО «РусГидро» - «Новосибирская ГЭС» от 28.03.2018 №НГЭС/93-00611 (Приложение 8 к настоящим ТТ).</w:t>
            </w:r>
          </w:p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2. Для производства работ на высоте разработать ППРв в соответствии с требованиями Правил по охране труда при работе на высоте, утвержденных приказом Минтруда России от 16.11.2020 № 782н.</w:t>
            </w:r>
          </w:p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3. ППР и ППРв подлежит обязательному согласованию Заказчиком и утверждению Подрядчиком.</w:t>
            </w:r>
          </w:p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4. Без утвержденных ППР и ППРв Подрядчик в зону работ не допускается.</w:t>
            </w:r>
          </w:p>
          <w:p>
            <w:pPr>
              <w:pStyle w:val="Style9"/>
              <w:widowControl w:val="false"/>
              <w:ind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5. Требование регламента обусловлено: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/>
            </w:pPr>
            <w:r>
              <w:rPr>
                <w:color w:val="000000"/>
                <w:sz w:val="20"/>
                <w:szCs w:val="20"/>
              </w:rPr>
              <w:t>работы выполняются на объекте повышенной опасности (гидротехническое сооружение Новосибирской ГЭС);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/>
            </w:pPr>
            <w:r>
              <w:rPr>
                <w:color w:val="000000"/>
                <w:sz w:val="20"/>
                <w:szCs w:val="20"/>
              </w:rPr>
              <w:t>организации, выполняющие работы на таком объекте, обязаны исполнять требования норм и правил, установленные в отношении объекта повышенной опасности (Правила технической эксплуатации электрических станций и сетей Российской Федерации, утвержденные приказом МинЭнерго Российской Федерации № 1070 от 4 октября 2022 г.).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применяемым при выполнении работ оборудованию, материалам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номенклатуре, характеристикам оборудования и материалам, которые должны быть использованы при проведении работ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firstLine="36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Оборудование и материалы, необходимые для выполнения работ, приобретаются Подрядчиком самостоятельно согласно спецификациям следующих комплектов РД (Приложение 1 к настоящим ТТ):</w:t>
            </w:r>
          </w:p>
          <w:p>
            <w:pPr>
              <w:pStyle w:val="Style9"/>
              <w:widowControl w:val="false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12-26-ПС1. Машинный зал. СПС и СОУЭ;</w:t>
            </w:r>
          </w:p>
          <w:p>
            <w:pPr>
              <w:pStyle w:val="Style9"/>
              <w:widowControl w:val="false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12-26-ПС2. АБК. СПС и СОУЭ;</w:t>
            </w:r>
          </w:p>
          <w:p>
            <w:pPr>
              <w:pStyle w:val="Style9"/>
              <w:widowControl w:val="false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12-26-ПС3. Пристройка АБК. СПС и СОУЭ;</w:t>
            </w:r>
          </w:p>
          <w:p>
            <w:pPr>
              <w:pStyle w:val="Style9"/>
              <w:widowControl w:val="false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12-26-ПС4. Щитовое отделение. СПС и СОУЭ;</w:t>
            </w:r>
          </w:p>
          <w:p>
            <w:pPr>
              <w:pStyle w:val="Style9"/>
              <w:widowControl w:val="false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12-26-ПС6. Мастерская ОРУ-110кВ. СПС и СОУЭ;</w:t>
            </w:r>
          </w:p>
          <w:p>
            <w:pPr>
              <w:pStyle w:val="Style9"/>
              <w:widowControl w:val="false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12-26-ЭМ. Силовое электрооборудование.</w:t>
            </w:r>
          </w:p>
          <w:p>
            <w:pPr>
              <w:pStyle w:val="Style9"/>
              <w:widowControl w:val="false"/>
              <w:ind w:firstLine="36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рамках этапа №1 оборудование приобретаются Подрядчиком самостоятельно согласно спецификации комплекта РД 12-26-ПС7.ЗИП в объеме согласно Перечню и объему закупаемой продукции (Приложение 2 к настоящим ТТ).</w:t>
            </w:r>
          </w:p>
          <w:p>
            <w:pPr>
              <w:pStyle w:val="Style9"/>
              <w:widowControl w:val="false"/>
              <w:ind w:firstLine="36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Подрядчик обязан своими силами в счет общей стоимости договора осуществить их приемку, разгрузку, складирование и хранение в период проведения работ. В ходе приемки Подрядчик обеспечивает контроль поступающего оборудования и материалов, включающий в себя проверку:</w:t>
            </w:r>
          </w:p>
          <w:p>
            <w:pPr>
              <w:pStyle w:val="Style9"/>
              <w:widowControl w:val="false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Style9"/>
              <w:widowControl w:val="false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Style9"/>
              <w:widowControl w:val="false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комплектности поставляемых материалов и оборудования.</w:t>
            </w:r>
          </w:p>
          <w:p>
            <w:pPr>
              <w:pStyle w:val="Style9"/>
              <w:widowControl w:val="false"/>
              <w:ind w:firstLine="36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Поставляемые материалы, оборудование должны иметь необходимые сертификаты соответствия Техническому регламенту о требованиях пожарной безопасности и документы качества, паспорта заводов изготовителей. Упаковка и маркировка должна обеспечивать полную сохранность материалов, предохранять их от повреждения при транспортировке и перегрузке.</w:t>
            </w:r>
          </w:p>
          <w:p>
            <w:pPr>
              <w:pStyle w:val="Style9"/>
              <w:widowControl w:val="false"/>
              <w:ind w:firstLine="36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Всё поставляемое Подрядчиком оборудование должно быть новым (которое не было в употреблении, не прошло ремонт, в том числе восстановление, замену составных частей, восстановление потребительских свойств), произведено не ранее 2026 года, не должно иметь дефектов, связанных с конструкцией, материалами или работой по их изготовлению, в результате действия или упущения производителя и/или поставщика, при соблюдении правил эксплуатации.</w:t>
            </w:r>
          </w:p>
          <w:p>
            <w:pPr>
              <w:pStyle w:val="Style9"/>
              <w:widowControl w:val="false"/>
              <w:ind w:firstLine="36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Поставляемое оборудование должно соответствовать марке, типу, обозначениям, техническим характеристикам, указанным в разработанной РД (Приложение 1 к настоящим ТТ).</w:t>
            </w:r>
          </w:p>
          <w:p>
            <w:pPr>
              <w:pStyle w:val="Style9"/>
              <w:widowControl w:val="false"/>
              <w:ind w:firstLine="36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Состав огнестойкой кабельной линии должен соответствовать разработанной РД (Приложение 1 к настоящим ТТ). В составе одной огнестойкой кабельной линии запрещено комбинировать комплектующие от разных сертифицированных решений.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8"/>
                <w:tab w:val="left" w:pos="2130" w:leader="none"/>
              </w:tabs>
              <w:ind w:hanging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контролю качества работ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Контроль качества выполненных работ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Включает проверку соответствия монтажа требованиям НТД, а также контроль функционирования технических средств СПС, СОУЭ и АУПТ.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персоналу подрядчика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Для выполнения монтажных работ персонал Подрядчика должен включать следующий состав квалифицированных специалистов: </w:t>
            </w:r>
          </w:p>
          <w:p>
            <w:pPr>
              <w:pStyle w:val="Style9"/>
              <w:widowControl w:val="false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электромонтажников систем противопожарной защиты на оборудовании НВП Болид с опытом работы по монтажу не менее трех лет -  не менее 2 человек;</w:t>
            </w:r>
          </w:p>
          <w:p>
            <w:pPr>
              <w:pStyle w:val="Style9"/>
              <w:widowControl w:val="false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электромонтажник с группой по электробезопасности не ниже 4 — не менее 4 человек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Для выполнения ПНР персонал Подрядчика должен включать следующий состав квалифицированных специалистов: </w:t>
            </w:r>
          </w:p>
          <w:p>
            <w:pPr>
              <w:pStyle w:val="Style9"/>
              <w:widowControl w:val="false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инженер-наладчик систем противопожарной защиты на оборудовании НВП Болид с высшим техническим образованием и опытом работы по наладке и программированию не менее трех лет, в количестве не менее одного работника;</w:t>
            </w:r>
          </w:p>
          <w:p>
            <w:pPr>
              <w:pStyle w:val="Style9"/>
              <w:widowControl w:val="false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работники, обученные для выполнения работ по измерению сопротивления изоляции кабелей, с соответствующей группой по электробезопасности.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Наличие свидетельств об успешном прохождении обучения/ повышения квалификации по программам/ курсам, включающим одну или несколько тем по деятельности по монтажу, техническому обслуживанию и ремонту средств обеспечения пожарной безопасности зданий и сооружений в авторизированном НВП Болид учебном центре.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Наличие персонала, имеющего право выдачи нарядов - допусков, быть руководителями работ. (У лиц, имеющих право выдачи наряда - допусков группа по электробезопасности должна быть V. У лиц, имеющих право быть руководителями работ группа по электробезопасности должна быть не ниже IV).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Наличие удостоверений на производство специальных видов работ (работ с электро - и пневмоинструментом, газосварочных) (возможно совмещение специальностей).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При работах на высоте в соответствии с Правилами по охране труда при работе на высоте (утверждены приказом Министерства труда России от 16.11.2020 г. № 782н): ответственный исполнитель (производитель работ) должен иметь группу не ниже II группы по безопасности работ на высоте, член бригады не ниже I, лицо, ответственное за безопасную организацию и проведение работ на высоте - группу III.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Работники, выполняющие работы на высоте, должны быть обучены и аттестованы в соответствии с требованиями п. 20 Правил по охране труда при работе на высоте (утв. приказом Минтруда России от 16.11.2020 N 782н).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 </w:t>
            </w:r>
            <w:r>
              <w:rPr>
                <w:iCs/>
                <w:color w:val="000000"/>
                <w:sz w:val="20"/>
                <w:szCs w:val="20"/>
              </w:rPr>
              <w:t>Подрядчик должен иметь службу по охране труда и технике безопасности, либо специалиста по охране труда.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 установленному требованию подтверждается путем представления на этапе до начала выполнения работ документов, подтверждающих квалификацию персонала, наличие трудовых отношений с работниками, копий свидетельств о прохождении обучения, а также копий удостоверений.</w:t>
            </w:r>
          </w:p>
          <w:p>
            <w:pPr>
              <w:pStyle w:val="Normal"/>
              <w:widowControl w:val="false"/>
              <w:jc w:val="both"/>
              <w:rPr>
                <w:iCs/>
                <w:szCs w:val="24"/>
              </w:rPr>
            </w:pPr>
            <w:r>
              <w:rPr>
                <w:iCs/>
                <w:sz w:val="20"/>
                <w:szCs w:val="20"/>
              </w:rPr>
              <w:t>Подрядчик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грузоподъемных, работ с электро и пневмоинструментом) (возможно совмещение специальностей). Подрядчик на этапе заключения договора должен подтвердить предоставление согласий работников на обработку персональных и иных охраняемых законом данных.</w:t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безопасности работ и охране труда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Условия производства работ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Производство работ осуществляется на территории действующего предприятия с наличием в зоне производства работ действующего технологического оборудования.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Производство работ осуществляется в охранной зоне действующей воздушной линии электропередачи, вблизи объектов, находящихся под напряжением, внутри объектов капитального 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Производство работ осуществляется в помещениях эксплуатируемого объекта капитального строительства без остановки рабочего процесса, при этом в зоне производства работ имеются действующее технологическое оборудование и иные загромождающие помещения предметы.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6.2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безопасности выполняемых работ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Подрядчик должен соблюдать требования действующего законодательства Российской Федерации, нормативных правовых актов субъектов Российской Федерации, в т.ч. законодательство об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Подрядчик обязан направлять на объект Заказчика работников, обученных правилам безопасного ведения работ и имеющих все необходимые допуски для производства работ.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Работы ведутся: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в соответствии с Правилами по охране труда при эксплуатации электроустановок (утверждены приказом Министерства труда РФ № 903н от 15.12.2020);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по оформленным наряд-допускам;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по утвержденным ППР, ППРв;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в соответствии с рабочей документацией (Приложение №1 к настоящим Техническим требованиям);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без остановки технологического процесса;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вблизи действующего оборудования, в том числе оборудования под напряжением;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iCs/>
                <w:color w:val="000000"/>
                <w:sz w:val="20"/>
                <w:szCs w:val="20"/>
              </w:rPr>
              <w:t>по разработанному Подрядчиком и согласованному Заказчиком КСГ.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результатам работ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Общие требования к результатам работ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 рамках договора Подрядчик должен выполнить в полном объеме поставку, СМР и ПНР систем СПС, СОУЭ и АУПТ согласно требованиям настоящих ТТ и выданной в производство работ РД (Приложение 1 к настоящим ТТ).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В рамках договора Подрядчик должен выполнить: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 Проведение подготовительных работ (устройство монтажных отверстий, установку крепёжных элементов, опорных конструкций и т.д.);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 Поставку оборудования, изделий и материалов;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2.3. Проведение всех необходимых испытаний с составлением соответствующих актов;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2.4. Подготовку всей необходимой исполнительной и иной документации и обеспечить участие в приемке объекта в эксплуатацию.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Все работы должны быть выполнены в соответствии с РД (Приложение 1 к настоящим ТТ), выданной в производство работ, технической документацией заводов-изготовителей оборудования и материалов, а также установленными для данного вида работ требованиями и правилами.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Контроль за работами Подрядчика производится уполномоченными представителями Заказчика. Их указания являются обязательными и подлежат выполнению Подрядчиком.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Подрядчик обязан сформировать и согласовать с Заказчиком перечень отчетной и исполнительной документации. 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В ходе выполнения работ Подрядчик обязан поэтапно сдавать Заказчику выполненные работ, кроме того, своевременно представлять к освидетельствованию скрытые работы, и вести исполнительную документацию в соответствии с НТД, которая в дальнейшем передается Заказчику.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 Результаты работ по соответствующему Этапу Работ предъявляются Подрядчиком с составлением актов освидетельствования выполненных работ. Приемка работ осуществляется при условии передачи полного комплекта исполнительной документации на бумажном носителе в соответствии с требованиями нормативных документов. По завершению работ по Объекту в целом, Подрядчиком предоставляются акты сдачи - приемки выполненных работ (форма КС-2), справка о стоимости выполненных работ и затрат (форма КС-3), акт приемки законченного строительством объекта (форма КС-11), соответствующие технические акты.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 По окончанию работ Подрядчик должен оформить и передать Заказчику комплект документации в соответствии с требованиями нормативных документов.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Обеспечение пожарной безопасности объекта.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Обеспечение безопасности людей, защита оборудования и имущества Новосибирской ГЭС.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Обеспечение выполнения требований действующих НТД.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порядку приемки результатов работ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По факту выполнения полного объема работ по Этапу работ Подрядчик обязан официально уведомить Заказчика о необходимости комиссионной приемки работ за 3 рабочих дня.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оформлению документации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Предоставление документации Заказчику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Представить Заказчику с актами выполненных работ следующую документацию: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исполнительную документацию, согласованную с Проектировщиком (в случае изменений проектных решений) и Заказчиком;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сертификаты, технические паспорта, удостоверяющие качество материалов, изделий и оборудования, примененных при производстве монтажных работ;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реестр отчетной, эксплуатационной и исполнительной документации, согласованный с Заказчиком;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журналы работ (в том числе журнала общих работ, специальных работ, сварочных работ, кабельный журнал);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кабельные журналы с указанием адресов и длин кабельных линий;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акты приемки скрытых работ;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схемы исполнительные монтажные, инструкции по эксплуатации и оперативному обслуживанию;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протоколы испытаний;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готовности зданий, сооружений к производству монтажных работ;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об окончании монтажных работ;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о выявленных дефектах приборов, оборудования и материалов (при необходимости);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измерения сопротивления изоляции электропроводок;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освидетельствования скрытых работ (при необходимости);</w:t>
            </w:r>
          </w:p>
          <w:p>
            <w:pPr>
              <w:pStyle w:val="Style9"/>
              <w:widowControl w:val="false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об окончании пусконаладочных работ;</w:t>
            </w:r>
          </w:p>
          <w:p>
            <w:pPr>
              <w:pStyle w:val="Style9"/>
              <w:widowControl w:val="false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акты проведения индивидуальных испытаний СПС, СОУЭ и АУПТ;</w:t>
            </w:r>
          </w:p>
          <w:p>
            <w:pPr>
              <w:pStyle w:val="Style9"/>
              <w:widowControl w:val="false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файлы конфигураций установленного оборудования;</w:t>
            </w:r>
          </w:p>
          <w:p>
            <w:pPr>
              <w:pStyle w:val="Style9"/>
              <w:widowControl w:val="false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ведомость смонтированных приборов и оборудования СПЗ.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2. Состав исполнительной документации должен соответствовать требованиям следующих НТД: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ГОСТ Р 59636-2021 «Установки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работоспособность»;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ГОСТ Р 59638-2021 «Системы пожарной сигнализации. Руководство по проектированию, монтажу, техническому обслуживанию и ремонту. Методы испытаний на работоспособность»;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ГОСТ Р 59639-2021 «Системы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работоспособность».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Состав исполнительной документации по электромонтажным работам определяется согласно требованиям: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И1.13-07 «Инструкция по оформлению приемо-сдаточной документации по электромонтажным работам» (утверждена президентом ассоциации «Росэлектромонтаж» 12.04.2007. Рекомендована к применению письмом Минрегионразвития №12677-ЮТ/02 от 05.07.2007);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 также должен включать: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кабельные журналы;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• </w:t>
            </w:r>
            <w:r>
              <w:rPr>
                <w:color w:val="000000"/>
                <w:sz w:val="20"/>
                <w:szCs w:val="20"/>
              </w:rPr>
              <w:t>акты индивидуального опробования и испытания оборудования;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акты приемки оборудования из монтажа;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акт о проведении комплексного опробования;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акт приемки оборудования в промышленную эксплуатацию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схема электроснабжения;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сертификаты огнестойкой кабельной линии;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• </w:t>
            </w:r>
            <w:r>
              <w:rPr>
                <w:color w:val="000000"/>
                <w:sz w:val="20"/>
                <w:szCs w:val="20"/>
              </w:rPr>
              <w:t>сертификаты и паспорта на вновь установленное оборудование, изделия и материалы.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Схемы подключения и планы размещения оборудования и кабельных трасс с указанием отступлений от решений РД передаются Заказчику в бумажном виде в 2-х экземплярах с подписью представителей Подрядчика, они же дополнительно передаются в редактируемом электронном виде на съемном носителе в формате 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10.2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Формат предоставления исполнительной документации Заказчику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Текстовая часть (акты, описание алгоритмов работы, перечень оборудования и т.д.) в электронном виде с возможностью правки в формате файлов соответствующих программ, с расширением: *.DOCX – WORD, или *.ODT – ODF (AlterOffice, OpenOffice и LibreOffice). Текстовая часть в электронном сканированном виде с подписями ответственных лиц в формате *.PDF. Не допускается разбивать документ на отдельные страницы-файлы.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Формат предоставления текстовых документов – А3, А4.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Графическая часть (схемы, чертежи, кабельные журналы и т.д.) предоставляется в электронном виде с возможностью правки в формате файлов соответствующих программ, с расширением: *.VSD, или *.DWG, или *.ODG – AlterOffice, OpenOffice и LibreOffice, с обязательным приложением используемых шрифтов, форм и других файлов, необходимых для работы с передаваемой в электронном виде документацией. Предоставление документации в других форматах возможно только по предварительному согласованию с Заказчиком.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Электронный вариант документации предоставляется в 2-х экземплярах– на USB flash и DVD.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В бумажном варианте документация предоставляется в 2-х экземплярах в формате А3 или А4 (при невозможности размещения графической части в формате А3, А4 допускается применение форматов до А1 включительно).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Документация должна быть сброшюрована в виде одной или нескольких папок, снабженных соответствующими надписями на каждой обложке и описью содержащихся в папке материалов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ответственности и гарантиям подрядчика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 гарантии на результаты работ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Не менее 36 месяцев c даты подписания Сторонами Акта КС-11, либо с даты прекращения (расторжения) Договора.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Прочие требования к выполняемым работам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12.1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Санитарные требования и требования в области охраны окружающей среды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По согласованию с Заказчиком Подрядчик своими силами на территории Заказчика могут быть организованы площадки для хранения оборудования и материалов.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Демонтированное оборудование размещается в места, указанные Заказчиком по видам отходов: черный металл, цветной металл, кабелей по типу и сечению жил.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Подрядчик за свой счет организует размещение строительных отходов на полигоне ТБО, указанном Заказчиком.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Подрядчик за свой счет организует подготовку к утилизации демонтированного оборудования. Демонтированное оборудование и отходы от производства работ вывозятся в место, указанное Заказчиком, и подготавливается к утилизации (под подготовкой к утилизации понимается разборка демонтированного оборудования и сортировка по видам отходов)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Подрядчик за свой счет и собственными силами обязан: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установить контейнеры для раздельного сбора и временного накопления отходов на площадках, указанных Заказчиком;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организовать временное накопление отходов на указанных Заказчиком площадках и обеспечить обращение с отходами согласно требованиям, действующего законодательства РФ. Демонтированное оборудование, после разборки и резки, перемещаются Подрядчиком на специальную бетонную площадку для хранения лома чёрных металлов на территории Новосибирской ГЭС. Металлолом передается Заказчику по акту установленной формы.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предоставить Заказчику копию лицензии на обращение с отходами в случае осуществления сбора, транспортирования, обезвреживания, утилизации, размещения отходов на полигоне ТБО собственными силами;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• </w:t>
            </w:r>
            <w:r>
              <w:rPr>
                <w:color w:val="000000"/>
                <w:sz w:val="20"/>
                <w:szCs w:val="20"/>
              </w:rPr>
              <w:t xml:space="preserve">в случае привлечения к обращению с отходами лицензированной организации до начала производства работ/оказания услуг Подрядчик обязан предоставить Заказчику копию договора на сбор, транспортирование обезвреживание, утилизацию, размещение отходов на полигоне ТБО. 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• </w:t>
            </w:r>
            <w:r>
              <w:rPr>
                <w:color w:val="000000"/>
                <w:sz w:val="20"/>
                <w:szCs w:val="20"/>
              </w:rPr>
              <w:t>вести учёт образовавшихся отходов и предоставлять Заказчику копии первичных бухгалтерских документов, подтверждающих факт сбора, транспортирования, обезвреживания, утилизации, размещения отходов на полигоне ТБО до подписания актов оказанных услуг по договору;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• </w:t>
            </w:r>
            <w:r>
              <w:rPr>
                <w:color w:val="000000"/>
                <w:sz w:val="20"/>
                <w:szCs w:val="20"/>
              </w:rPr>
              <w:t>разобрать отходы производства до металлолома (1,5м, 0,5м, 0,5м), отделить лом чёрного и цветных металлов, доставить и сдать лом на склад Заказчика.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• </w:t>
            </w:r>
            <w:r>
              <w:rPr>
                <w:color w:val="000000"/>
                <w:sz w:val="20"/>
                <w:szCs w:val="20"/>
              </w:rPr>
              <w:t>Передача на склад Заказчика демонтированного оборудования и материалов осуществляется по акту приёмки-передачи.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>
              <w:rPr>
                <w:iCs/>
                <w:color w:val="000000"/>
                <w:sz w:val="20"/>
                <w:szCs w:val="20"/>
              </w:rPr>
              <w:t>Подрядчик обязан предоставить Заказчику талоны на утилизацию отходов на полигон ТБО.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 Персонал Подрядчика обеспечивает поддержание чистоты в местах производства работ (на рабочих местах), своевременную уборку указанной (выделенной) Заказчиком площадки производства работ.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 Подрядчик при выполнении работ обеспечивает соблюдение санитарных требований и требований в области охраны окружающей среды к обращению с отходами, установленных законодательством Российской Федерации законодательства.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Подрядчиком осуществляется ежесменная уборка рабочего места и вывоз отходов в места, указанные Заказчиком.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 Слив технических жидкостей, сброс отходов в канализацию или на грунт, а также в водные объекты запрещается.</w:t>
            </w:r>
          </w:p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 Отходы лома чёрных и цветных металлов, складируются Подрядчиком своими силами и за свой счет в места, указанные Заказчиком. Отходы лома чёрных и цветных металлов являются собственностью Заказчика.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12.2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Непредвиденные расходы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Подрядчику предусмотреть включение непредвиденных расходов в размере 1,8% от общей сметной стоимости. Заказчик исключает при исполнении договора заключение дополнительных соглашений на увеличение объёмов работ.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12.3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Сроки уведомлений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Уведомление о приемке скрытых работ (при наличии) должно быть получено Заказчиком заблаговременно, но не позднее, чем за 5 (пять) рабочих дней до начала приемки.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Согласие с требованиями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13‍</w:t>
            </w:r>
          </w:p>
        </w:tc>
        <w:tc>
          <w:tcPr>
            <w:tcW w:w="85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Участнику закупки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13.1‍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Перечень специальных требований</w:t>
            </w:r>
          </w:p>
        </w:tc>
        <w:tc>
          <w:tcPr>
            <w:tcW w:w="5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Постановлением Правительства РФ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 от 28.07.2020 г. № 1128 (вместе с «Положением о лицензировании деятельности по монтажу, техническому обслуживанию и ремонту средств обеспечения пожарной безопасности зданий и сооружений»): наличие действующей (в течение срока действия заявки на участие в закупке) лицензии на осуществление следующих видов деятельности:</w:t>
            </w:r>
          </w:p>
          <w:p>
            <w:pPr>
              <w:pStyle w:val="Normal"/>
              <w:keepNext w:val="true"/>
              <w:widowControl w:val="fals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>
            <w:pPr>
              <w:pStyle w:val="Normal"/>
              <w:keepNext w:val="true"/>
              <w:widowControl w:val="fals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>
            <w:pPr>
              <w:pStyle w:val="Normal"/>
              <w:keepNext w:val="true"/>
              <w:widowControl w:val="fals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работ, в том числе фотолюминесцентных эвакуационных систем и их элементов,</w:t>
            </w:r>
          </w:p>
          <w:p>
            <w:pPr>
              <w:pStyle w:val="Normal"/>
              <w:keepNext w:val="true"/>
              <w:widowControl w:val="fals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требованиям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</w:t>
            </w: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составе заявки Участник должен предоставить (на выбор):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копию действующей лицензии, выданной МЧС России на осуществление деятельности:</w:t>
            </w:r>
          </w:p>
          <w:p>
            <w:pPr>
              <w:pStyle w:val="Normal"/>
              <w:keepNext w:val="true"/>
              <w:widowControl w:val="fals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>
            <w:pPr>
              <w:pStyle w:val="Normal"/>
              <w:keepNext w:val="true"/>
              <w:widowControl w:val="fals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>
            <w:pPr>
              <w:pStyle w:val="Normal"/>
              <w:keepNext w:val="true"/>
              <w:widowControl w:val="false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* 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работ, в том числе фотолюминесцентных эвакуационных систем и их элементов,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копию действующей выписки из Реестра указанных лицензий (выданной не ранее одного месяца до даты подачи заявки) по форме, установленной законодательством РФ; или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справку (в произвольной форме) с указанием номера лицензии в Реестре лицензий на сайте лицензирующего органа, названия этого Реестра и соответствующей ссылки на указанный Реестр в сети Интернет</w:t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sectPr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Heading1"/>
        <w:rPr/>
      </w:pPr>
      <w:bookmarkStart w:id="14" w:name="_Toc238212499"/>
      <w:bookmarkStart w:id="15" w:name="_Toc211008551"/>
      <w:r>
        <w:rPr/>
        <w:t>Требования к документации по ценообразованию</w:t>
      </w:r>
      <w:bookmarkEnd w:id="15"/>
      <w:r>
        <w:rPr/>
        <w:t xml:space="preserve"> на этапе закупки.</w:t>
      </w:r>
      <w:bookmarkEnd w:id="14"/>
    </w:p>
    <w:p>
      <w:pPr>
        <w:pStyle w:val="Heading2"/>
        <w:keepNext w:val="false"/>
        <w:keepLines w:val="false"/>
        <w:widowControl w:val="false"/>
        <w:rPr/>
      </w:pPr>
      <w:r>
        <w:rPr/>
        <w:t>Требования к документации по ценообразованию на этапе закупки</w:t>
      </w:r>
    </w:p>
    <w:p>
      <w:pPr>
        <w:pStyle w:val="Heading3"/>
        <w:rPr/>
      </w:pPr>
      <w:r>
        <w:rPr/>
        <w:t>Сметная документация (Приложение 9 к настоящим ТТ) разработана Заказчиком в рамках определения начальной (максимальной) цены договора в соответствии с требованиями, указанными в Приложении 10 к настоящим ТТ.</w:t>
      </w:r>
    </w:p>
    <w:p>
      <w:pPr>
        <w:pStyle w:val="Heading3"/>
        <w:rPr/>
      </w:pPr>
      <w:r>
        <w:rPr/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</w:p>
    <w:p>
      <w:pPr>
        <w:pStyle w:val="Heading3"/>
        <w:rPr/>
      </w:pPr>
      <w:r>
        <w:rPr/>
        <w:t> </w:t>
      </w:r>
      <w:r>
        <w:rPr/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Heading1"/>
        <w:rPr/>
      </w:pPr>
      <w:bookmarkStart w:id="16" w:name="_Toc238212500"/>
      <w:r>
        <w:rPr/>
        <w:t>Требования к документации по ценообразованию на этапе заключения (исполнения) договора.</w:t>
      </w:r>
      <w:bookmarkEnd w:id="16"/>
    </w:p>
    <w:p>
      <w:pPr>
        <w:pStyle w:val="Heading2"/>
        <w:rPr/>
      </w:pPr>
      <w:r>
        <w:rPr/>
        <w:t>Требования к документации по ценообразованию на этапе заключения (исполнения) договора</w:t>
      </w:r>
    </w:p>
    <w:p>
      <w:pPr>
        <w:pStyle w:val="Heading3"/>
        <w:rPr/>
      </w:pPr>
      <w:r>
        <w:rPr/>
        <w:t>Сметная документация формируется путем применения к сметной документации, разработанной Заказчиком, понижающего коэффициента из заявки Участника. Внесение изменений, кроме применения понижающего коэффициента, не допускается.</w:t>
      </w:r>
    </w:p>
    <w:p>
      <w:pPr>
        <w:pStyle w:val="Heading3"/>
        <w:rPr/>
      </w:pPr>
      <w:r>
        <w:rPr/>
        <w:t>В случае использования резерва средств на непредвиденные работы и затраты, подтверждающую сметную документацию формировать в соответствии с Приложением 10 к настоящим ТТ «Требования к оформлению и составлению сметной документации на работы по программе технического перевооружения и реконструкции».</w:t>
      </w:r>
    </w:p>
    <w:p>
      <w:pPr>
        <w:pStyle w:val="Heading1"/>
        <w:rPr/>
      </w:pPr>
      <w:bookmarkStart w:id="17" w:name="_Toc211008552"/>
      <w:bookmarkStart w:id="18" w:name="_Toc238212501"/>
      <w:r>
        <w:rPr/>
        <w:t>Приложения</w:t>
      </w:r>
      <w:bookmarkEnd w:id="17"/>
      <w:bookmarkEnd w:id="18"/>
    </w:p>
    <w:p>
      <w:pPr>
        <w:pStyle w:val="Normal"/>
        <w:rPr/>
      </w:pPr>
      <w:r>
        <w:rPr/>
      </w:r>
    </w:p>
    <w:tbl>
      <w:tblPr>
        <w:tblStyle w:val="afe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80"/>
        <w:gridCol w:w="7364"/>
      </w:tblGrid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Приложение 1: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both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Рабочая документация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 xml:space="preserve">Приложение 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2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: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both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Перечень и объем закупаемой продукции.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 xml:space="preserve">Приложение 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3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: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both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Требования политики группы РусГидро в области охраны труда.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 xml:space="preserve">Приложение 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4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: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both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Регламент по организации уборки рабочих мест при выполнении ремонтных и строительных работ в машинном зале и действующих электроустановках.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 xml:space="preserve">Приложение 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5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: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both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Регламент процесса «Допуск персонала подрядных организаций на объекты ПАО РусГидро.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 xml:space="preserve">Приложение 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6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: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both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Порядок представления и согласования исполнительной документации на выполненные работы при реализации инвестиционных проектов в ходе строительства, технического перевооружения и реконструкции объектов Группы РусГидро.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 xml:space="preserve">Приложение 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7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: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both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Положение о пропускном и внутриобъектовом режимах, утв. приказом филиала ПАО «РусГидро» - «Новосибирская ГЭС» от 19.03.2025 № НГЭС/93-108.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 xml:space="preserve">Приложение 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8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: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both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Регламент разработки проектов производства работ в филиале ПАО «РусГидро»-«Новосибирская ГЭС», утв. приказом филиала ПАО «РусГидро» - «Новосибирская ГЭС» от 28.03.2018 №НГЭС/93-00611.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 xml:space="preserve">Приложение 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9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: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both"/>
              <w:rPr>
                <w:lang w:val="en-US"/>
              </w:rPr>
            </w:pP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Пакет сметной документации.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Приложение 1</w:t>
            </w:r>
            <w:r>
              <w:rPr>
                <w:rFonts w:eastAsia="Calibri" w:cs=""/>
                <w:kern w:val="2"/>
                <w:szCs w:val="22"/>
                <w:lang w:val="en-US" w:eastAsia="en-US" w:bidi="ar-SA"/>
              </w:rPr>
              <w:t>0</w:t>
            </w: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: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120" w:after="0"/>
              <w:ind w:hanging="0"/>
              <w:jc w:val="both"/>
              <w:rPr>
                <w:rFonts w:eastAsia="Calibri"/>
              </w:rPr>
            </w:pPr>
            <w:r>
              <w:rPr>
                <w:rFonts w:eastAsia="Calibri" w:cs=""/>
                <w:kern w:val="2"/>
                <w:szCs w:val="22"/>
                <w:lang w:val="ru-RU" w:eastAsia="en-US" w:bidi="ar-SA"/>
              </w:rPr>
              <w:t>Требования к оформлению и составлению сметной документации на работы по программе технического перевооружения и реконструкции.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Symbol">
    <w:charset w:val="02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Heading2"/>
      <w:numFmt w:val="decimal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Heading3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Heading4"/>
      <w:numFmt w:val="decimal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Heading5"/>
      <w:numFmt w:val="decimal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Heading6"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Heading7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Heading8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Heading9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0"/>
      <w:numFmt w:val="bullet"/>
      <w:lvlText w:val="•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rFonts w:eastAsiaTheme="minorHAnsi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08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1" w:hanging="360"/>
      </w:pPr>
      <w:rPr>
        <w:rFonts w:ascii="Wingdings" w:hAnsi="Wingdings" w:cs="Wingdings" w:hint="default"/>
      </w:rPr>
    </w:lvl>
  </w:abstractNum>
  <w:abstractNum w:abstractNumId="5">
    <w:lvl w:ilvl="0">
      <w:numFmt w:val="bullet"/>
      <w:lvlText w:val="•"/>
      <w:lvlJc w:val="left"/>
      <w:pPr>
        <w:tabs>
          <w:tab w:val="num" w:pos="0"/>
        </w:tabs>
        <w:ind w:left="901" w:hanging="360"/>
      </w:pPr>
      <w:rPr>
        <w:rFonts w:ascii="Times New Roman" w:hAnsi="Times New Roman" w:cs="Times New Roman" w:hint="default"/>
        <w:rFonts w:eastAsiaTheme="minorHAns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numFmt w:val="bullet"/>
      <w:lvlText w:val="•"/>
      <w:lvlJc w:val="left"/>
      <w:pPr>
        <w:tabs>
          <w:tab w:val="num" w:pos="0"/>
        </w:tabs>
        <w:ind w:left="901" w:hanging="360"/>
      </w:pPr>
      <w:rPr>
        <w:rFonts w:ascii="Times New Roman" w:hAnsi="Times New Roman" w:cs="Times New Roman" w:hint="default"/>
        <w:rFonts w:eastAsiaTheme="minorHAns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numFmt w:val="bullet"/>
      <w:lvlText w:val="•"/>
      <w:lvlJc w:val="left"/>
      <w:pPr>
        <w:tabs>
          <w:tab w:val="num" w:pos="0"/>
        </w:tabs>
        <w:ind w:left="901" w:hanging="360"/>
      </w:pPr>
      <w:rPr>
        <w:rFonts w:ascii="Times New Roman" w:hAnsi="Times New Roman" w:cs="Times New Roman" w:hint="default"/>
        <w:rFonts w:eastAsiaTheme="minorHAns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08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1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0PI3c/T0vEf//lXswW3zvQ==" w:hash="X8abiudegC0yJjM4GGqc7rxySugt8VAPIAxhlyueJie02aVXZ5QrEvxLAU9L9Q+tELfwFBYwGyLCctvluqRjuA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43a0c"/>
    <w:pPr>
      <w:widowControl/>
      <w:suppressAutoHyphens w:val="true"/>
      <w:bidi w:val="0"/>
      <w:spacing w:lineRule="auto" w:line="259" w:before="0" w:after="0"/>
      <w:ind w:firstLine="567"/>
      <w:jc w:val="left"/>
    </w:pPr>
    <w:rPr>
      <w:rFonts w:ascii="Times New Roman" w:hAnsi="Times New Roman" w:eastAsia="Calibri" w:cs="" w:cstheme="minorBidi" w:eastAsiaTheme="minorHAnsi"/>
      <w:color w:val="auto"/>
      <w:kern w:val="2"/>
      <w:sz w:val="24"/>
      <w:szCs w:val="22"/>
      <w:lang w:val="ru-RU" w:eastAsia="en-US" w:bidi="ar-SA"/>
      <w14:ligatures w14:val="standardContextual"/>
    </w:rPr>
  </w:style>
  <w:style w:type="paragraph" w:styleId="Heading1">
    <w:name w:val="Heading 1"/>
    <w:basedOn w:val="Normal"/>
    <w:next w:val="Heading2"/>
    <w:link w:val="1"/>
    <w:uiPriority w:val="9"/>
    <w:qFormat/>
    <w:rsid w:val="00043a0c"/>
    <w:pPr>
      <w:keepNext w:val="true"/>
      <w:keepLines/>
      <w:numPr>
        <w:ilvl w:val="0"/>
        <w:numId w:val="1"/>
      </w:numPr>
      <w:spacing w:before="240" w:after="0"/>
      <w:outlineLvl w:val="0"/>
    </w:pPr>
    <w:rPr>
      <w:rFonts w:eastAsia="" w:cs="" w:cstheme="majorBidi" w:eastAsiaTheme="majorEastAsia"/>
      <w:b/>
      <w:sz w:val="28"/>
      <w:szCs w:val="32"/>
    </w:rPr>
  </w:style>
  <w:style w:type="paragraph" w:styleId="Heading2">
    <w:name w:val="Heading 2"/>
    <w:basedOn w:val="Heading1"/>
    <w:next w:val="Heading3"/>
    <w:link w:val="2"/>
    <w:uiPriority w:val="9"/>
    <w:unhideWhenUsed/>
    <w:qFormat/>
    <w:rsid w:val="00043a0c"/>
    <w:pPr>
      <w:numPr>
        <w:ilvl w:val="1"/>
        <w:numId w:val="1"/>
      </w:numPr>
      <w:spacing w:before="120" w:after="0"/>
      <w:outlineLvl w:val="1"/>
    </w:pPr>
    <w:rPr>
      <w:sz w:val="24"/>
      <w:szCs w:val="26"/>
    </w:rPr>
  </w:style>
  <w:style w:type="paragraph" w:styleId="Heading3">
    <w:name w:val="Heading 3"/>
    <w:basedOn w:val="Heading2"/>
    <w:next w:val="Normal"/>
    <w:link w:val="3"/>
    <w:uiPriority w:val="9"/>
    <w:unhideWhenUsed/>
    <w:qFormat/>
    <w:rsid w:val="00043a0c"/>
    <w:pPr>
      <w:numPr>
        <w:ilvl w:val="2"/>
        <w:numId w:val="1"/>
      </w:numPr>
      <w:spacing w:before="40" w:after="0"/>
      <w:outlineLvl w:val="2"/>
    </w:pPr>
    <w:rPr>
      <w:b w:val="false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043a0c"/>
    <w:pPr>
      <w:keepNext w:val="true"/>
      <w:keepLines/>
      <w:numPr>
        <w:ilvl w:val="3"/>
        <w:numId w:val="1"/>
      </w:numPr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043a0c"/>
    <w:pPr>
      <w:keepNext w:val="true"/>
      <w:keepLines/>
      <w:numPr>
        <w:ilvl w:val="4"/>
        <w:numId w:val="1"/>
      </w:numPr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043a0c"/>
    <w:pPr>
      <w:keepNext w:val="true"/>
      <w:keepLines/>
      <w:numPr>
        <w:ilvl w:val="5"/>
        <w:numId w:val="1"/>
      </w:numPr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043a0c"/>
    <w:pPr>
      <w:keepNext w:val="true"/>
      <w:keepLines/>
      <w:numPr>
        <w:ilvl w:val="6"/>
        <w:numId w:val="1"/>
      </w:numPr>
      <w:spacing w:before="4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043a0c"/>
    <w:pPr>
      <w:keepNext w:val="true"/>
      <w:keepLines/>
      <w:numPr>
        <w:ilvl w:val="7"/>
        <w:numId w:val="1"/>
      </w:numPr>
      <w:spacing w:before="40" w:after="0"/>
      <w:outlineLvl w:val="7"/>
    </w:pPr>
    <w:rPr>
      <w:rFonts w:ascii="Calibri Light" w:hAnsi="Calibri Light" w:eastAsia="" w:cs="" w:asciiTheme="majorHAnsi" w:cstheme="majorBidi" w:eastAsiaTheme="majorEastAsia" w:hAnsiTheme="majorHAns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043a0c"/>
    <w:pPr>
      <w:keepNext w:val="true"/>
      <w:keepLines/>
      <w:numPr>
        <w:ilvl w:val="8"/>
        <w:numId w:val="1"/>
      </w:numPr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043a0c"/>
    <w:rPr>
      <w:rFonts w:ascii="Times New Roman" w:hAnsi="Times New Roman" w:eastAsia="" w:cs="" w:cstheme="majorBidi" w:eastAsiaTheme="majorEastAsia"/>
      <w:b/>
      <w:sz w:val="28"/>
      <w:szCs w:val="32"/>
    </w:rPr>
  </w:style>
  <w:style w:type="character" w:styleId="2" w:customStyle="1">
    <w:name w:val="Заголовок 2 Знак"/>
    <w:basedOn w:val="DefaultParagraphFont"/>
    <w:uiPriority w:val="9"/>
    <w:qFormat/>
    <w:rsid w:val="00043a0c"/>
    <w:rPr>
      <w:rFonts w:ascii="Times New Roman" w:hAnsi="Times New Roman" w:eastAsia="" w:cs="" w:cstheme="majorBidi" w:eastAsiaTheme="majorEastAsia"/>
      <w:b/>
      <w:sz w:val="24"/>
      <w:szCs w:val="26"/>
    </w:rPr>
  </w:style>
  <w:style w:type="character" w:styleId="3" w:customStyle="1">
    <w:name w:val="Заголовок 3 Знак"/>
    <w:basedOn w:val="DefaultParagraphFont"/>
    <w:uiPriority w:val="9"/>
    <w:qFormat/>
    <w:rsid w:val="00043a0c"/>
    <w:rPr>
      <w:rFonts w:ascii="Times New Roman" w:hAnsi="Times New Roman" w:eastAsia="" w:cs="" w:cstheme="majorBidi" w:eastAsiaTheme="majorEastAsia"/>
      <w:sz w:val="24"/>
      <w:szCs w:val="24"/>
    </w:rPr>
  </w:style>
  <w:style w:type="character" w:styleId="4" w:customStyle="1">
    <w:name w:val="Заголовок 4 Знак"/>
    <w:basedOn w:val="DefaultParagraphFont"/>
    <w:uiPriority w:val="9"/>
    <w:semiHidden/>
    <w:qFormat/>
    <w:rsid w:val="00043a0c"/>
    <w:rPr>
      <w:rFonts w:ascii="Calibri Light" w:hAnsi="Calibri Light" w:eastAsia="" w:cs="" w:asciiTheme="majorHAnsi" w:cstheme="majorBidi" w:eastAsiaTheme="majorEastAsia" w:hAnsiTheme="majorHAnsi"/>
      <w:i/>
      <w:iCs/>
      <w:color w:val="2F5496" w:themeColor="accent1" w:themeShade="bf"/>
    </w:rPr>
  </w:style>
  <w:style w:type="character" w:styleId="5" w:customStyle="1">
    <w:name w:val="Заголовок 5 Знак"/>
    <w:basedOn w:val="DefaultParagraphFont"/>
    <w:uiPriority w:val="9"/>
    <w:semiHidden/>
    <w:qFormat/>
    <w:rsid w:val="00043a0c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6" w:customStyle="1">
    <w:name w:val="Заголовок 6 Знак"/>
    <w:basedOn w:val="DefaultParagraphFont"/>
    <w:uiPriority w:val="9"/>
    <w:semiHidden/>
    <w:qFormat/>
    <w:rsid w:val="00043a0c"/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</w:rPr>
  </w:style>
  <w:style w:type="character" w:styleId="7" w:customStyle="1">
    <w:name w:val="Заголовок 7 Знак"/>
    <w:basedOn w:val="DefaultParagraphFont"/>
    <w:uiPriority w:val="9"/>
    <w:semiHidden/>
    <w:qFormat/>
    <w:rsid w:val="00043a0c"/>
    <w:rPr>
      <w:rFonts w:ascii="Calibri Light" w:hAnsi="Calibri Light" w:eastAsia="" w:cs="" w:asciiTheme="majorHAnsi" w:cstheme="majorBidi" w:eastAsiaTheme="majorEastAsia" w:hAnsiTheme="majorHAnsi"/>
      <w:i/>
      <w:iCs/>
      <w:color w:val="1F3763" w:themeColor="accent1" w:themeShade="7f"/>
    </w:rPr>
  </w:style>
  <w:style w:type="character" w:styleId="8" w:customStyle="1">
    <w:name w:val="Заголовок 8 Знак"/>
    <w:basedOn w:val="DefaultParagraphFont"/>
    <w:uiPriority w:val="9"/>
    <w:semiHidden/>
    <w:qFormat/>
    <w:rsid w:val="00043a0c"/>
    <w:rPr>
      <w:rFonts w:ascii="Calibri Light" w:hAnsi="Calibri Light" w:eastAsia="" w:cs="" w:asciiTheme="majorHAnsi" w:cstheme="majorBidi" w:eastAsiaTheme="majorEastAsia" w:hAnsiTheme="majorHAnsi"/>
      <w:color w:val="272727" w:themeColor="text1" w:themeTint="d8"/>
      <w:sz w:val="21"/>
      <w:szCs w:val="21"/>
    </w:rPr>
  </w:style>
  <w:style w:type="character" w:styleId="9" w:customStyle="1">
    <w:name w:val="Заголовок 9 Знак"/>
    <w:basedOn w:val="DefaultParagraphFont"/>
    <w:uiPriority w:val="9"/>
    <w:semiHidden/>
    <w:qFormat/>
    <w:rsid w:val="00043a0c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Style" w:customStyle="1">
    <w:name w:val="Обачный таблица Знак"/>
    <w:basedOn w:val="DefaultParagraphFont"/>
    <w:link w:val="Style8"/>
    <w:qFormat/>
    <w:rsid w:val="005132af"/>
    <w:rPr>
      <w:rFonts w:ascii="Times New Roman" w:hAnsi="Times New Roman"/>
      <w:sz w:val="24"/>
    </w:rPr>
  </w:style>
  <w:style w:type="character" w:styleId="SubtleReference">
    <w:name w:val="Subtle Reference"/>
    <w:basedOn w:val="DefaultParagraphFont"/>
    <w:uiPriority w:val="31"/>
    <w:qFormat/>
    <w:rsid w:val="005132af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943b36"/>
    <w:rPr>
      <w:b/>
      <w:bCs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7a1c26"/>
    <w:rPr>
      <w:color w:val="0563C1" w:themeColor="hyperlink"/>
      <w:u w:val="single"/>
    </w:rPr>
  </w:style>
  <w:style w:type="character" w:styleId="Style1" w:customStyle="1">
    <w:name w:val="Текст выноски Знак"/>
    <w:basedOn w:val="DefaultParagraphFont"/>
    <w:link w:val="BalloonText"/>
    <w:uiPriority w:val="99"/>
    <w:semiHidden/>
    <w:qFormat/>
    <w:rsid w:val="00fc7f1e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eb065c"/>
    <w:rPr>
      <w:sz w:val="16"/>
      <w:szCs w:val="16"/>
    </w:rPr>
  </w:style>
  <w:style w:type="character" w:styleId="Style2" w:customStyle="1">
    <w:name w:val="Текст примечания Знак"/>
    <w:basedOn w:val="DefaultParagraphFont"/>
    <w:link w:val="Annotationtext"/>
    <w:uiPriority w:val="99"/>
    <w:semiHidden/>
    <w:qFormat/>
    <w:rsid w:val="00eb065c"/>
    <w:rPr>
      <w:rFonts w:ascii="Times New Roman" w:hAnsi="Times New Roman"/>
      <w:sz w:val="20"/>
      <w:szCs w:val="20"/>
    </w:rPr>
  </w:style>
  <w:style w:type="character" w:styleId="Style3" w:customStyle="1">
    <w:name w:val="Тема примечания Знак"/>
    <w:basedOn w:val="Style2"/>
    <w:link w:val="Annotationsubject"/>
    <w:uiPriority w:val="99"/>
    <w:semiHidden/>
    <w:qFormat/>
    <w:rsid w:val="00eb065c"/>
    <w:rPr>
      <w:rFonts w:ascii="Times New Roman" w:hAnsi="Times New Roman"/>
      <w:b/>
      <w:bCs/>
      <w:sz w:val="20"/>
      <w:szCs w:val="20"/>
    </w:rPr>
  </w:style>
  <w:style w:type="character" w:styleId="Linenumber">
    <w:name w:val="line number"/>
    <w:qFormat/>
    <w:rPr/>
  </w:style>
  <w:style w:type="character" w:styleId="Strong">
    <w:name w:val="Strong"/>
    <w:qFormat/>
    <w:rPr>
      <w:b/>
      <w:bCs/>
    </w:rPr>
  </w:style>
  <w:style w:type="character" w:styleId="Style4" w:customStyle="1">
    <w:name w:val="Маркеры"/>
    <w:qFormat/>
    <w:rPr>
      <w:rFonts w:ascii="OpenSymbol" w:hAnsi="OpenSymbol" w:eastAsia="OpenSymbol" w:cs="OpenSymbol"/>
    </w:rPr>
  </w:style>
  <w:style w:type="character" w:styleId="Style5" w:customStyle="1">
    <w:name w:val="Ссылка указателя"/>
    <w:qFormat/>
    <w:rPr/>
  </w:style>
  <w:style w:type="paragraph" w:styleId="Style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7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Style8" w:customStyle="1">
    <w:name w:val="Обачный таблица"/>
    <w:basedOn w:val="Normal"/>
    <w:link w:val="Style"/>
    <w:qFormat/>
    <w:rsid w:val="005132af"/>
    <w:pPr>
      <w:spacing w:lineRule="auto" w:line="240"/>
      <w:ind w:hanging="0"/>
    </w:pPr>
    <w:rPr/>
  </w:style>
  <w:style w:type="paragraph" w:styleId="ListParagraph">
    <w:name w:val="List Paragraph"/>
    <w:basedOn w:val="Normal"/>
    <w:uiPriority w:val="34"/>
    <w:qFormat/>
    <w:rsid w:val="00943b36"/>
    <w:pPr>
      <w:numPr>
        <w:ilvl w:val="0"/>
        <w:numId w:val="2"/>
      </w:numPr>
      <w:spacing w:before="0" w:after="0"/>
      <w:contextualSpacing/>
      <w:jc w:val="both"/>
    </w:pPr>
    <w:rPr/>
  </w:style>
  <w:style w:type="paragraph" w:styleId="TOC1">
    <w:name w:val="TOC 1"/>
    <w:basedOn w:val="Normal"/>
    <w:next w:val="Normal"/>
    <w:autoRedefine/>
    <w:uiPriority w:val="39"/>
    <w:unhideWhenUsed/>
    <w:rsid w:val="007a1c26"/>
    <w:pPr>
      <w:spacing w:before="360" w:after="0"/>
    </w:pPr>
    <w:rPr>
      <w:rFonts w:ascii="Calibri Light" w:hAnsi="Calibri Light" w:cs="Calibri Light" w:asciiTheme="majorHAnsi" w:cstheme="majorHAnsi" w:hAnsiTheme="majorHAnsi"/>
      <w:b/>
      <w:bCs/>
      <w:caps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7a1c26"/>
    <w:pPr>
      <w:spacing w:before="240" w:after="0"/>
    </w:pPr>
    <w:rPr>
      <w:rFonts w:ascii="Calibri" w:hAnsi="Calibri" w:cs="Calibri" w:asciiTheme="minorHAnsi" w:cstheme="minorHAnsi" w:hAnsi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a1c26"/>
    <w:pPr>
      <w:ind w:left="240" w:firstLine="567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a1c26"/>
    <w:pPr>
      <w:ind w:left="480" w:firstLine="567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7a1c26"/>
    <w:pPr>
      <w:ind w:left="720" w:firstLine="567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7a1c26"/>
    <w:pPr>
      <w:ind w:left="960" w:firstLine="567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7a1c26"/>
    <w:pPr>
      <w:ind w:left="1200" w:firstLine="567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7a1c26"/>
    <w:pPr>
      <w:ind w:left="1440" w:firstLine="567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7a1c26"/>
    <w:pPr>
      <w:ind w:left="1680" w:firstLine="567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IndexHeading">
    <w:name w:val="Index Heading"/>
    <w:basedOn w:val="Style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a1c26"/>
    <w:pPr>
      <w:numPr>
        <w:ilvl w:val="0"/>
        <w:numId w:val="0"/>
      </w:numPr>
      <w:ind w:firstLine="567"/>
      <w:outlineLvl w:val="9"/>
    </w:pPr>
    <w:rPr>
      <w:rFonts w:ascii="Calibri Light" w:hAnsi="Calibri Light" w:asciiTheme="majorHAnsi" w:hAnsiTheme="majorHAnsi"/>
      <w:b w:val="false"/>
      <w:color w:val="2F5496" w:themeColor="accent1" w:themeShade="bf"/>
      <w:kern w:val="0"/>
      <w:sz w:val="32"/>
      <w:lang w:eastAsia="ru-RU"/>
      <w14:ligatures w14:val="none"/>
    </w:rPr>
  </w:style>
  <w:style w:type="paragraph" w:styleId="BalloonText">
    <w:name w:val="Balloon Text"/>
    <w:basedOn w:val="Normal"/>
    <w:link w:val="Style1"/>
    <w:uiPriority w:val="99"/>
    <w:semiHidden/>
    <w:unhideWhenUsed/>
    <w:qFormat/>
    <w:rsid w:val="00fc7f1e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Style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0" w:customStyle="1">
    <w:name w:val="Заголовок таблицы"/>
    <w:basedOn w:val="Style9"/>
    <w:qFormat/>
    <w:pPr>
      <w:jc w:val="center"/>
    </w:pPr>
    <w:rPr>
      <w:b/>
      <w:bCs/>
    </w:rPr>
  </w:style>
  <w:style w:type="paragraph" w:styleId="Annotationtext">
    <w:name w:val="annotation text"/>
    <w:basedOn w:val="Normal"/>
    <w:link w:val="Style2"/>
    <w:uiPriority w:val="99"/>
    <w:semiHidden/>
    <w:unhideWhenUsed/>
    <w:qFormat/>
    <w:rsid w:val="00eb065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3"/>
    <w:uiPriority w:val="99"/>
    <w:semiHidden/>
    <w:unhideWhenUsed/>
    <w:qFormat/>
    <w:rsid w:val="00eb065c"/>
    <w:pPr/>
    <w:rPr>
      <w:b/>
      <w:bCs/>
    </w:rPr>
  </w:style>
  <w:style w:type="paragraph" w:styleId="Revision">
    <w:name w:val="Revision"/>
    <w:uiPriority w:val="99"/>
    <w:semiHidden/>
    <w:qFormat/>
    <w:rsid w:val="00b4745a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2"/>
      <w:sz w:val="24"/>
      <w:szCs w:val="22"/>
      <w:lang w:val="ru-RU" w:eastAsia="en-US" w:bidi="ar-SA"/>
      <w14:ligatures w14:val="standardContextual"/>
    </w:rPr>
  </w:style>
  <w:style w:type="paragraph" w:styleId="Style11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34210704601" w:customStyle="1">
    <w:name w:val="34210704601"/>
    <w:qFormat/>
  </w:style>
  <w:style w:type="numbering" w:styleId="18284414671" w:customStyle="1">
    <w:name w:val="18284414671"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2"/>
    <w:uiPriority w:val="39"/>
    <w:rsid w:val="00043a0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75E9E-A770-46C9-AFB2-ACCA7DCFC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Application>AlterOffice/3.4.0.9$Linux_X86_64 LibreOffice_project/b8daf9e823b1a5463a2f48435ddc2e8696e7d4fc</Application>
  <AppVersion>15.0000</AppVersion>
  <Pages>39</Pages>
  <Words>5979</Words>
  <Characters>41728</Characters>
  <CharactersWithSpaces>47167</CharactersWithSpaces>
  <Paragraphs>551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2026-08-11T06:43:00Z</dcterms:created>
  <dc:creator>Aleksandr C</dc:creator>
  <dc:description/>
  <dc:language>ru-RU</dc:language>
  <cp:lastModifiedBy>murinatv@corp.gidroogk.com</cp:lastModifiedBy>
  <cp:lastPrinted>2026-08-20T09:23:00Z</cp:lastPrinted>
  <dcterms:modified xsi:type="dcterms:W3CDTF">2026-09-07T16:21:04Z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